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34" w:rsidRDefault="00D02A34" w:rsidP="00772B83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7126"/>
      </w:tblGrid>
      <w:tr w:rsidR="005E1D27" w:rsidTr="004D59BF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1D27" w:rsidRDefault="00B30FE5" w:rsidP="00772B83">
            <w:r>
              <w:rPr>
                <w:b/>
              </w:rPr>
              <w:t xml:space="preserve">Committee </w:t>
            </w:r>
            <w:r w:rsidR="005E1D27">
              <w:rPr>
                <w:b/>
              </w:rPr>
              <w:t>Details</w:t>
            </w:r>
          </w:p>
        </w:tc>
      </w:tr>
      <w:tr w:rsidR="00B33326" w:rsidTr="004D59BF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326" w:rsidRDefault="00B33326" w:rsidP="00772B83">
            <w:r>
              <w:t>Date: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26" w:rsidRDefault="003315DE" w:rsidP="00772B83">
            <w:r>
              <w:t>02.12.16</w:t>
            </w:r>
          </w:p>
        </w:tc>
      </w:tr>
      <w:tr w:rsidR="00B33326" w:rsidTr="004D59BF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326" w:rsidRDefault="00FA56B7" w:rsidP="00772B83">
            <w:r>
              <w:t>Committee</w:t>
            </w:r>
            <w:r w:rsidR="00B33326">
              <w:t xml:space="preserve"> Name: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26" w:rsidRDefault="00095030" w:rsidP="00772B83">
            <w:bookmarkStart w:id="0" w:name="_GoBack"/>
            <w:r>
              <w:t xml:space="preserve">4 </w:t>
            </w:r>
            <w:r w:rsidR="003315DE">
              <w:t>Business</w:t>
            </w:r>
            <w:bookmarkEnd w:id="0"/>
          </w:p>
        </w:tc>
      </w:tr>
      <w:tr w:rsidR="00B33326" w:rsidTr="004D59BF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326" w:rsidRDefault="00FA56B7" w:rsidP="00772B83">
            <w:r>
              <w:t>Committee</w:t>
            </w:r>
            <w:r w:rsidR="005114BD">
              <w:t xml:space="preserve"> Co-Chairs</w:t>
            </w:r>
            <w:r w:rsidR="00B33326">
              <w:t>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26" w:rsidRPr="004D59BF" w:rsidRDefault="003315DE" w:rsidP="00772B83">
            <w:pPr>
              <w:rPr>
                <w:b/>
              </w:rPr>
            </w:pPr>
            <w:r>
              <w:rPr>
                <w:b/>
              </w:rPr>
              <w:t>Alicia Jackson and Elizabeth Perkins</w:t>
            </w:r>
          </w:p>
        </w:tc>
      </w:tr>
      <w:tr w:rsidR="00B33326" w:rsidTr="004D59BF">
        <w:trPr>
          <w:trHeight w:val="35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326" w:rsidRDefault="005114BD" w:rsidP="00B33326">
            <w:r>
              <w:t>Functional Area</w:t>
            </w:r>
            <w:r w:rsidR="00B33326">
              <w:t>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26" w:rsidRDefault="003315DE" w:rsidP="00772B83">
            <w:r>
              <w:t>Academic Degrees and Programs</w:t>
            </w:r>
          </w:p>
        </w:tc>
      </w:tr>
    </w:tbl>
    <w:p w:rsidR="00772B83" w:rsidRDefault="005114BD" w:rsidP="005E1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>Functional Area Coordinator:</w:t>
      </w:r>
      <w:r w:rsidR="006C202B">
        <w:tab/>
      </w:r>
      <w:r w:rsidR="003315DE">
        <w:t>Abiodun Ojemakinde</w:t>
      </w:r>
      <w:r w:rsidR="006C202B">
        <w:tab/>
      </w:r>
      <w:r w:rsidR="006C202B">
        <w:tab/>
      </w:r>
    </w:p>
    <w:p w:rsidR="004E430F" w:rsidRDefault="004E430F" w:rsidP="00772B8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3213"/>
        <w:gridCol w:w="3208"/>
      </w:tblGrid>
      <w:tr w:rsidR="004E430F" w:rsidTr="004E430F">
        <w:tc>
          <w:tcPr>
            <w:tcW w:w="9846" w:type="dxa"/>
            <w:gridSpan w:val="3"/>
            <w:shd w:val="clear" w:color="auto" w:fill="F2F2F2" w:themeFill="background1" w:themeFillShade="F2"/>
          </w:tcPr>
          <w:p w:rsidR="004E430F" w:rsidRPr="00D02A34" w:rsidRDefault="00FA56B7" w:rsidP="00772B83">
            <w:pPr>
              <w:rPr>
                <w:b/>
              </w:rPr>
            </w:pPr>
            <w:r>
              <w:rPr>
                <w:b/>
              </w:rPr>
              <w:t xml:space="preserve">Committee </w:t>
            </w:r>
            <w:r w:rsidR="004E430F" w:rsidRPr="00D02A34">
              <w:rPr>
                <w:b/>
              </w:rPr>
              <w:t xml:space="preserve"> Membership List</w:t>
            </w:r>
          </w:p>
        </w:tc>
      </w:tr>
      <w:tr w:rsidR="004E430F" w:rsidTr="004E430F">
        <w:tc>
          <w:tcPr>
            <w:tcW w:w="3282" w:type="dxa"/>
          </w:tcPr>
          <w:p w:rsidR="004E430F" w:rsidRDefault="004E430F" w:rsidP="00772B83">
            <w:r>
              <w:t>Name</w:t>
            </w:r>
          </w:p>
        </w:tc>
        <w:tc>
          <w:tcPr>
            <w:tcW w:w="3282" w:type="dxa"/>
          </w:tcPr>
          <w:p w:rsidR="004E430F" w:rsidRDefault="004E430F" w:rsidP="00772B83">
            <w:r>
              <w:t>Title</w:t>
            </w:r>
          </w:p>
        </w:tc>
        <w:tc>
          <w:tcPr>
            <w:tcW w:w="3282" w:type="dxa"/>
          </w:tcPr>
          <w:p w:rsidR="004E430F" w:rsidRDefault="004E430F" w:rsidP="00772B83">
            <w:r>
              <w:t>Institutional Affiliation</w:t>
            </w:r>
          </w:p>
        </w:tc>
      </w:tr>
      <w:tr w:rsidR="004E430F" w:rsidTr="004E430F">
        <w:tc>
          <w:tcPr>
            <w:tcW w:w="3282" w:type="dxa"/>
          </w:tcPr>
          <w:p w:rsidR="004E430F" w:rsidRDefault="003315DE" w:rsidP="00772B83">
            <w:r>
              <w:t>Alicia Jackson</w:t>
            </w:r>
          </w:p>
        </w:tc>
        <w:tc>
          <w:tcPr>
            <w:tcW w:w="3282" w:type="dxa"/>
          </w:tcPr>
          <w:p w:rsidR="004E430F" w:rsidRDefault="003315DE" w:rsidP="00772B83">
            <w:r>
              <w:t>Dean, College of Business</w:t>
            </w:r>
          </w:p>
        </w:tc>
        <w:tc>
          <w:tcPr>
            <w:tcW w:w="3282" w:type="dxa"/>
          </w:tcPr>
          <w:p w:rsidR="004E430F" w:rsidRDefault="003315DE" w:rsidP="00772B83">
            <w:r>
              <w:t>ASU</w:t>
            </w:r>
          </w:p>
        </w:tc>
      </w:tr>
      <w:tr w:rsidR="004E430F" w:rsidTr="004E430F">
        <w:tc>
          <w:tcPr>
            <w:tcW w:w="3282" w:type="dxa"/>
          </w:tcPr>
          <w:p w:rsidR="004E430F" w:rsidRDefault="003315DE" w:rsidP="00772B83">
            <w:r>
              <w:t>Elizabeth Perkins</w:t>
            </w:r>
          </w:p>
        </w:tc>
        <w:tc>
          <w:tcPr>
            <w:tcW w:w="3282" w:type="dxa"/>
          </w:tcPr>
          <w:p w:rsidR="004E430F" w:rsidRDefault="003315DE" w:rsidP="00772B83">
            <w:r>
              <w:t>Dean, School of Humanities &amp; Social Sciences</w:t>
            </w:r>
          </w:p>
        </w:tc>
        <w:tc>
          <w:tcPr>
            <w:tcW w:w="3282" w:type="dxa"/>
          </w:tcPr>
          <w:p w:rsidR="004E430F" w:rsidRDefault="003315DE" w:rsidP="00772B83">
            <w:r>
              <w:t>DSC</w:t>
            </w:r>
          </w:p>
        </w:tc>
      </w:tr>
      <w:tr w:rsidR="004E430F" w:rsidTr="004E430F">
        <w:tc>
          <w:tcPr>
            <w:tcW w:w="3282" w:type="dxa"/>
          </w:tcPr>
          <w:p w:rsidR="004E430F" w:rsidRDefault="003315DE" w:rsidP="00772B83">
            <w:r>
              <w:t>Aaron Johnson</w:t>
            </w:r>
          </w:p>
        </w:tc>
        <w:tc>
          <w:tcPr>
            <w:tcW w:w="3282" w:type="dxa"/>
          </w:tcPr>
          <w:p w:rsidR="004E430F" w:rsidRDefault="003315DE" w:rsidP="00772B83">
            <w:r>
              <w:t>Assistant Professor of Economics &amp; Occupational Experience Coordinator</w:t>
            </w:r>
          </w:p>
        </w:tc>
        <w:tc>
          <w:tcPr>
            <w:tcW w:w="3282" w:type="dxa"/>
          </w:tcPr>
          <w:p w:rsidR="004E430F" w:rsidRDefault="003315DE" w:rsidP="00772B83">
            <w:r>
              <w:t>DSC</w:t>
            </w:r>
          </w:p>
        </w:tc>
      </w:tr>
      <w:tr w:rsidR="004E430F" w:rsidTr="004E430F">
        <w:tc>
          <w:tcPr>
            <w:tcW w:w="3282" w:type="dxa"/>
          </w:tcPr>
          <w:p w:rsidR="004E430F" w:rsidRDefault="003315DE" w:rsidP="00772B83">
            <w:r>
              <w:t>Corrine Sweet</w:t>
            </w:r>
          </w:p>
        </w:tc>
        <w:tc>
          <w:tcPr>
            <w:tcW w:w="3282" w:type="dxa"/>
          </w:tcPr>
          <w:p w:rsidR="004E430F" w:rsidRDefault="003315DE" w:rsidP="00772B83">
            <w:r>
              <w:t>Associate Professor of Business</w:t>
            </w:r>
          </w:p>
        </w:tc>
        <w:tc>
          <w:tcPr>
            <w:tcW w:w="3282" w:type="dxa"/>
          </w:tcPr>
          <w:p w:rsidR="004E430F" w:rsidRDefault="003315DE" w:rsidP="00772B83">
            <w:r>
              <w:t>DSC</w:t>
            </w:r>
          </w:p>
        </w:tc>
      </w:tr>
      <w:tr w:rsidR="004E430F" w:rsidTr="004E430F">
        <w:tc>
          <w:tcPr>
            <w:tcW w:w="3282" w:type="dxa"/>
          </w:tcPr>
          <w:p w:rsidR="004E430F" w:rsidRDefault="003315DE" w:rsidP="00772B83">
            <w:r>
              <w:t>Cynthia Bennett</w:t>
            </w:r>
          </w:p>
        </w:tc>
        <w:tc>
          <w:tcPr>
            <w:tcW w:w="3282" w:type="dxa"/>
          </w:tcPr>
          <w:p w:rsidR="004E430F" w:rsidRDefault="003315DE" w:rsidP="00772B83">
            <w:r>
              <w:t>Chair and Professor of Business Information Systems</w:t>
            </w:r>
          </w:p>
        </w:tc>
        <w:tc>
          <w:tcPr>
            <w:tcW w:w="3282" w:type="dxa"/>
          </w:tcPr>
          <w:p w:rsidR="004E430F" w:rsidRDefault="003315DE" w:rsidP="00772B83">
            <w:r>
              <w:t>ASU</w:t>
            </w:r>
          </w:p>
        </w:tc>
      </w:tr>
      <w:tr w:rsidR="004E430F" w:rsidTr="004E430F">
        <w:tc>
          <w:tcPr>
            <w:tcW w:w="3282" w:type="dxa"/>
          </w:tcPr>
          <w:p w:rsidR="004E430F" w:rsidRDefault="003315DE" w:rsidP="00772B83">
            <w:r>
              <w:t>Damitha Bandara</w:t>
            </w:r>
          </w:p>
        </w:tc>
        <w:tc>
          <w:tcPr>
            <w:tcW w:w="3282" w:type="dxa"/>
          </w:tcPr>
          <w:p w:rsidR="004E430F" w:rsidRDefault="003315DE" w:rsidP="003315DE">
            <w:r>
              <w:t>Associate Professor of Supply Chain Logistics</w:t>
            </w:r>
          </w:p>
        </w:tc>
        <w:tc>
          <w:tcPr>
            <w:tcW w:w="3282" w:type="dxa"/>
          </w:tcPr>
          <w:p w:rsidR="004E430F" w:rsidRDefault="003315DE" w:rsidP="00772B83">
            <w:r>
              <w:t>ASU</w:t>
            </w:r>
          </w:p>
        </w:tc>
      </w:tr>
      <w:tr w:rsidR="004E430F" w:rsidTr="004E430F">
        <w:tc>
          <w:tcPr>
            <w:tcW w:w="3282" w:type="dxa"/>
          </w:tcPr>
          <w:p w:rsidR="004E430F" w:rsidRDefault="003315DE" w:rsidP="00772B83">
            <w:r>
              <w:t>Devi Akella</w:t>
            </w:r>
          </w:p>
        </w:tc>
        <w:tc>
          <w:tcPr>
            <w:tcW w:w="3282" w:type="dxa"/>
          </w:tcPr>
          <w:p w:rsidR="004E430F" w:rsidRDefault="003315DE" w:rsidP="003315DE">
            <w:r>
              <w:t>Associate Professor of Management</w:t>
            </w:r>
          </w:p>
        </w:tc>
        <w:tc>
          <w:tcPr>
            <w:tcW w:w="3282" w:type="dxa"/>
          </w:tcPr>
          <w:p w:rsidR="004E430F" w:rsidRDefault="003315DE" w:rsidP="00772B83">
            <w:r>
              <w:t>ASU</w:t>
            </w:r>
          </w:p>
        </w:tc>
      </w:tr>
      <w:tr w:rsidR="004E430F" w:rsidTr="004E430F">
        <w:tc>
          <w:tcPr>
            <w:tcW w:w="3282" w:type="dxa"/>
          </w:tcPr>
          <w:p w:rsidR="004E430F" w:rsidRDefault="003315DE" w:rsidP="00772B83">
            <w:r>
              <w:t>Preston Sweet</w:t>
            </w:r>
          </w:p>
        </w:tc>
        <w:tc>
          <w:tcPr>
            <w:tcW w:w="3282" w:type="dxa"/>
          </w:tcPr>
          <w:p w:rsidR="004E430F" w:rsidRDefault="003315DE" w:rsidP="00772B83">
            <w:r>
              <w:t>Associate Professor of Computing Disciplines</w:t>
            </w:r>
          </w:p>
        </w:tc>
        <w:tc>
          <w:tcPr>
            <w:tcW w:w="3282" w:type="dxa"/>
          </w:tcPr>
          <w:p w:rsidR="004E430F" w:rsidRDefault="003315DE" w:rsidP="00772B83">
            <w:r>
              <w:t>ASU</w:t>
            </w:r>
          </w:p>
        </w:tc>
      </w:tr>
      <w:tr w:rsidR="004E430F" w:rsidTr="004E430F">
        <w:tc>
          <w:tcPr>
            <w:tcW w:w="3282" w:type="dxa"/>
          </w:tcPr>
          <w:p w:rsidR="004E430F" w:rsidRDefault="003315DE" w:rsidP="00772B83">
            <w:r>
              <w:t>Tracy Williams</w:t>
            </w:r>
          </w:p>
        </w:tc>
        <w:tc>
          <w:tcPr>
            <w:tcW w:w="3282" w:type="dxa"/>
          </w:tcPr>
          <w:p w:rsidR="004E430F" w:rsidRDefault="003315DE" w:rsidP="00772B83">
            <w:r>
              <w:t>Director of Career Services</w:t>
            </w:r>
          </w:p>
        </w:tc>
        <w:tc>
          <w:tcPr>
            <w:tcW w:w="3282" w:type="dxa"/>
          </w:tcPr>
          <w:p w:rsidR="004E430F" w:rsidRDefault="003315DE" w:rsidP="00772B83">
            <w:r>
              <w:t>ASU</w:t>
            </w:r>
          </w:p>
        </w:tc>
      </w:tr>
      <w:tr w:rsidR="004E430F" w:rsidTr="004E430F">
        <w:tc>
          <w:tcPr>
            <w:tcW w:w="3282" w:type="dxa"/>
          </w:tcPr>
          <w:p w:rsidR="004E430F" w:rsidRDefault="003315DE" w:rsidP="00772B83">
            <w:r>
              <w:t>Valerie Cochran</w:t>
            </w:r>
          </w:p>
        </w:tc>
        <w:tc>
          <w:tcPr>
            <w:tcW w:w="3282" w:type="dxa"/>
          </w:tcPr>
          <w:p w:rsidR="004E430F" w:rsidRDefault="003315DE" w:rsidP="00772B83">
            <w:r>
              <w:t>Assistant Professor and Program Coordinator of Paralegal Studies</w:t>
            </w:r>
          </w:p>
        </w:tc>
        <w:tc>
          <w:tcPr>
            <w:tcW w:w="3282" w:type="dxa"/>
          </w:tcPr>
          <w:p w:rsidR="004E430F" w:rsidRDefault="003315DE" w:rsidP="00772B83">
            <w:r>
              <w:t>DSC</w:t>
            </w:r>
          </w:p>
        </w:tc>
      </w:tr>
      <w:tr w:rsidR="003315DE" w:rsidTr="004E430F">
        <w:tc>
          <w:tcPr>
            <w:tcW w:w="3282" w:type="dxa"/>
          </w:tcPr>
          <w:p w:rsidR="003315DE" w:rsidRDefault="003315DE" w:rsidP="00772B83">
            <w:r>
              <w:t>Wendy Kennedy</w:t>
            </w:r>
          </w:p>
        </w:tc>
        <w:tc>
          <w:tcPr>
            <w:tcW w:w="3282" w:type="dxa"/>
          </w:tcPr>
          <w:p w:rsidR="003315DE" w:rsidRDefault="003315DE" w:rsidP="00772B83">
            <w:r>
              <w:t>Chair of Business and Social Sciences</w:t>
            </w:r>
          </w:p>
        </w:tc>
        <w:tc>
          <w:tcPr>
            <w:tcW w:w="3282" w:type="dxa"/>
          </w:tcPr>
          <w:p w:rsidR="003315DE" w:rsidRDefault="003315DE" w:rsidP="00772B83">
            <w:r>
              <w:t>DSC</w:t>
            </w:r>
          </w:p>
        </w:tc>
      </w:tr>
    </w:tbl>
    <w:p w:rsidR="004D59BF" w:rsidRDefault="004D59BF" w:rsidP="009526E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2245"/>
      </w:tblGrid>
      <w:tr w:rsidR="009526E1" w:rsidTr="00C870F4">
        <w:tc>
          <w:tcPr>
            <w:tcW w:w="738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9526E1" w:rsidRPr="00D02A34" w:rsidRDefault="009526E1" w:rsidP="00C870F4">
            <w:pPr>
              <w:jc w:val="center"/>
              <w:rPr>
                <w:b/>
              </w:rPr>
            </w:pPr>
            <w:r w:rsidRPr="00D02A34">
              <w:rPr>
                <w:b/>
              </w:rPr>
              <w:t>Maj</w:t>
            </w:r>
            <w:r w:rsidR="00752B9C">
              <w:rPr>
                <w:b/>
              </w:rPr>
              <w:t>or Tasks Assigned by USO Leadership Responsibilities</w:t>
            </w:r>
          </w:p>
        </w:tc>
        <w:tc>
          <w:tcPr>
            <w:tcW w:w="2245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9526E1" w:rsidRPr="00D02A34" w:rsidRDefault="00752B9C" w:rsidP="00C870F4">
            <w:pPr>
              <w:jc w:val="center"/>
              <w:rPr>
                <w:b/>
              </w:rPr>
            </w:pPr>
            <w:r>
              <w:rPr>
                <w:b/>
              </w:rPr>
              <w:t>Deadline</w:t>
            </w:r>
          </w:p>
        </w:tc>
      </w:tr>
      <w:tr w:rsidR="004D59BF" w:rsidTr="00AC728A">
        <w:tc>
          <w:tcPr>
            <w:tcW w:w="9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B9C" w:rsidRPr="004D59BF" w:rsidRDefault="008B5378" w:rsidP="008B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Confirm the major tasks</w:t>
            </w:r>
            <w:r w:rsidR="00FA56B7">
              <w:rPr>
                <w:i/>
                <w:sz w:val="18"/>
                <w:szCs w:val="18"/>
              </w:rPr>
              <w:t xml:space="preserve"> assigned to your committee </w:t>
            </w:r>
            <w:r w:rsidR="00752B9C">
              <w:rPr>
                <w:i/>
                <w:sz w:val="18"/>
                <w:szCs w:val="18"/>
              </w:rPr>
              <w:t xml:space="preserve">based on the Leadership </w:t>
            </w:r>
            <w:r w:rsidR="00D21034">
              <w:rPr>
                <w:i/>
                <w:sz w:val="18"/>
                <w:szCs w:val="18"/>
              </w:rPr>
              <w:t>Responsibilities</w:t>
            </w:r>
            <w:r w:rsidR="00752B9C">
              <w:rPr>
                <w:i/>
                <w:sz w:val="18"/>
                <w:szCs w:val="18"/>
              </w:rPr>
              <w:t xml:space="preserve"> document</w:t>
            </w:r>
            <w:r>
              <w:rPr>
                <w:i/>
                <w:sz w:val="18"/>
                <w:szCs w:val="18"/>
              </w:rPr>
              <w:t xml:space="preserve"> and place them in priority order.  </w:t>
            </w:r>
            <w:r w:rsidR="006C31E2">
              <w:rPr>
                <w:i/>
                <w:sz w:val="18"/>
                <w:szCs w:val="18"/>
              </w:rPr>
              <w:t>Please identify any additions or deletions</w:t>
            </w:r>
            <w:r>
              <w:rPr>
                <w:i/>
                <w:sz w:val="18"/>
                <w:szCs w:val="18"/>
              </w:rPr>
              <w:t xml:space="preserve"> of the tasks assigned</w:t>
            </w:r>
            <w:r w:rsidR="006C31E2">
              <w:rPr>
                <w:i/>
                <w:sz w:val="18"/>
                <w:szCs w:val="18"/>
              </w:rPr>
              <w:t xml:space="preserve"> in the nex</w:t>
            </w:r>
            <w:r>
              <w:rPr>
                <w:i/>
                <w:sz w:val="18"/>
                <w:szCs w:val="18"/>
              </w:rPr>
              <w:t>t section</w:t>
            </w:r>
            <w:r w:rsidR="006C31E2">
              <w:rPr>
                <w:i/>
                <w:sz w:val="18"/>
                <w:szCs w:val="18"/>
              </w:rPr>
              <w:t xml:space="preserve"> of the form.  </w:t>
            </w:r>
            <w:r w:rsidR="00D21034">
              <w:rPr>
                <w:i/>
                <w:sz w:val="18"/>
                <w:szCs w:val="18"/>
              </w:rPr>
              <w:t xml:space="preserve">You may also wish to identify any deadlines that you know of at this point.  </w:t>
            </w:r>
            <w:r w:rsidR="006C31E2"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9526E1" w:rsidTr="00C870F4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E1" w:rsidRPr="003315DE" w:rsidRDefault="003315DE" w:rsidP="003315DE">
            <w:pPr>
              <w:spacing w:line="274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DE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  <w:r w:rsidRPr="003315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15DE"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r w:rsidRPr="003315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15DE">
              <w:rPr>
                <w:rFonts w:ascii="Times New Roman" w:eastAsia="Times New Roman" w:hAnsi="Times New Roman" w:cs="Times New Roman"/>
                <w:sz w:val="24"/>
                <w:szCs w:val="24"/>
              </w:rPr>
              <w:t>and Curriculum</w:t>
            </w:r>
            <w:r w:rsidRPr="003315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15DE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E1" w:rsidRDefault="003315DE" w:rsidP="00C870F4">
            <w:r>
              <w:t>July 1, 2016</w:t>
            </w:r>
          </w:p>
        </w:tc>
      </w:tr>
      <w:tr w:rsidR="009526E1" w:rsidTr="00C870F4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E1" w:rsidRPr="003315DE" w:rsidRDefault="003315DE" w:rsidP="003315DE">
            <w:pPr>
              <w:spacing w:before="2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DE">
              <w:rPr>
                <w:rFonts w:ascii="Times New Roman" w:eastAsia="Times New Roman" w:hAnsi="Times New Roman" w:cs="Times New Roman"/>
                <w:sz w:val="24"/>
                <w:szCs w:val="24"/>
              </w:rPr>
              <w:t>Streamline</w:t>
            </w:r>
            <w:r w:rsidRPr="003315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15DE"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r w:rsidRPr="003315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15DE">
              <w:rPr>
                <w:rFonts w:ascii="Times New Roman" w:eastAsia="Times New Roman" w:hAnsi="Times New Roman" w:cs="Times New Roman"/>
                <w:sz w:val="24"/>
                <w:szCs w:val="24"/>
              </w:rPr>
              <w:t>Offerings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E1" w:rsidRDefault="003315DE" w:rsidP="00C870F4">
            <w:r>
              <w:t>July 1, 2016</w:t>
            </w:r>
          </w:p>
        </w:tc>
      </w:tr>
      <w:tr w:rsidR="009526E1" w:rsidTr="00C870F4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E1" w:rsidRPr="003315DE" w:rsidRDefault="003315DE" w:rsidP="003315DE">
            <w:pPr>
              <w:spacing w:line="274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DE">
              <w:rPr>
                <w:rFonts w:ascii="Times New Roman" w:eastAsia="Times New Roman" w:hAnsi="Times New Roman" w:cs="Times New Roman"/>
                <w:sz w:val="24"/>
                <w:szCs w:val="24"/>
              </w:rPr>
              <w:t>Combine</w:t>
            </w:r>
            <w:r w:rsidRPr="003315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15DE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E1" w:rsidRDefault="003315DE" w:rsidP="00C870F4">
            <w:r>
              <w:t>July 1, 2016</w:t>
            </w:r>
          </w:p>
        </w:tc>
      </w:tr>
    </w:tbl>
    <w:p w:rsidR="004E430F" w:rsidRDefault="004E430F" w:rsidP="009526E1">
      <w:pPr>
        <w:spacing w:after="0" w:line="240" w:lineRule="auto"/>
      </w:pPr>
    </w:p>
    <w:p w:rsidR="009D66AF" w:rsidRDefault="009D66AF" w:rsidP="009526E1">
      <w:pPr>
        <w:spacing w:after="0" w:line="240" w:lineRule="auto"/>
      </w:pPr>
    </w:p>
    <w:p w:rsidR="009526E1" w:rsidRPr="005726EE" w:rsidRDefault="009526E1" w:rsidP="009526E1">
      <w:pPr>
        <w:shd w:val="clear" w:color="auto" w:fill="EDEDED" w:themeFill="accent3" w:themeFillTint="33"/>
        <w:spacing w:after="0" w:line="240" w:lineRule="auto"/>
        <w:rPr>
          <w:b/>
        </w:rPr>
      </w:pPr>
      <w:r>
        <w:rPr>
          <w:b/>
        </w:rPr>
        <w:lastRenderedPageBreak/>
        <w:t>Suggested Revisions to USO Tracker</w:t>
      </w:r>
    </w:p>
    <w:p w:rsidR="009526E1" w:rsidRPr="004D59BF" w:rsidRDefault="009526E1" w:rsidP="00772B83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Identify any tasks that should be added</w:t>
      </w:r>
      <w:r w:rsidR="004D59BF">
        <w:rPr>
          <w:i/>
          <w:sz w:val="18"/>
          <w:szCs w:val="18"/>
        </w:rPr>
        <w:t xml:space="preserve"> to</w:t>
      </w:r>
      <w:r>
        <w:rPr>
          <w:i/>
          <w:sz w:val="18"/>
          <w:szCs w:val="18"/>
        </w:rPr>
        <w:t xml:space="preserve"> or deleted from the USO Tracker related t</w:t>
      </w:r>
      <w:r w:rsidR="00B30FE5">
        <w:rPr>
          <w:i/>
          <w:sz w:val="18"/>
          <w:szCs w:val="18"/>
        </w:rPr>
        <w:t>o your committee</w:t>
      </w:r>
      <w:r>
        <w:rPr>
          <w:i/>
          <w:sz w:val="18"/>
          <w:szCs w:val="18"/>
        </w:rPr>
        <w:t xml:space="preserve">.  If you suggest deleting a task from your assigned list, identify specifically which </w:t>
      </w:r>
      <w:r w:rsidR="00B30FE5">
        <w:rPr>
          <w:i/>
          <w:sz w:val="18"/>
          <w:szCs w:val="18"/>
        </w:rPr>
        <w:t xml:space="preserve">committee </w:t>
      </w:r>
      <w:r>
        <w:rPr>
          <w:i/>
          <w:sz w:val="18"/>
          <w:szCs w:val="18"/>
        </w:rPr>
        <w:t>should be responsible for that task.</w:t>
      </w:r>
    </w:p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4829"/>
        <w:gridCol w:w="4829"/>
      </w:tblGrid>
      <w:tr w:rsidR="009526E1" w:rsidTr="00C870F4">
        <w:trPr>
          <w:trHeight w:val="278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9526E1" w:rsidRPr="00D02A34" w:rsidRDefault="009526E1" w:rsidP="00C870F4">
            <w:pPr>
              <w:jc w:val="center"/>
              <w:rPr>
                <w:b/>
              </w:rPr>
            </w:pPr>
            <w:r w:rsidRPr="00D02A34">
              <w:rPr>
                <w:b/>
              </w:rPr>
              <w:t>USO Tracker Tasks to Add or Delete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9526E1" w:rsidRPr="00D02A34" w:rsidRDefault="00FA56B7" w:rsidP="00C870F4">
            <w:pPr>
              <w:jc w:val="center"/>
              <w:rPr>
                <w:b/>
              </w:rPr>
            </w:pPr>
            <w:r>
              <w:rPr>
                <w:b/>
              </w:rPr>
              <w:t>Suggested Committee</w:t>
            </w:r>
            <w:r w:rsidR="009526E1" w:rsidRPr="00D02A34">
              <w:rPr>
                <w:b/>
              </w:rPr>
              <w:t xml:space="preserve"> for Task Reassignment</w:t>
            </w:r>
          </w:p>
        </w:tc>
      </w:tr>
      <w:tr w:rsidR="009526E1" w:rsidTr="009526E1">
        <w:trPr>
          <w:trHeight w:val="360"/>
        </w:trPr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6E1" w:rsidRDefault="003315DE" w:rsidP="00C870F4">
            <w:r>
              <w:t>none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26E1" w:rsidRDefault="003315DE" w:rsidP="00C870F4">
            <w:r>
              <w:t>none</w:t>
            </w:r>
          </w:p>
          <w:p w:rsidR="009526E1" w:rsidRDefault="009526E1" w:rsidP="00C870F4"/>
        </w:tc>
      </w:tr>
    </w:tbl>
    <w:p w:rsidR="009526E1" w:rsidRDefault="009526E1" w:rsidP="00772B83">
      <w:pPr>
        <w:spacing w:after="0" w:line="240" w:lineRule="auto"/>
      </w:pPr>
    </w:p>
    <w:p w:rsidR="009526E1" w:rsidRDefault="009526E1" w:rsidP="00772B83">
      <w:pPr>
        <w:spacing w:after="0" w:line="240" w:lineRule="auto"/>
      </w:pPr>
    </w:p>
    <w:p w:rsidR="00E917D2" w:rsidRPr="005726EE" w:rsidRDefault="005726EE" w:rsidP="005726EE">
      <w:pPr>
        <w:shd w:val="clear" w:color="auto" w:fill="EDEDED" w:themeFill="accent3" w:themeFillTint="33"/>
        <w:spacing w:after="0" w:line="240" w:lineRule="auto"/>
        <w:rPr>
          <w:b/>
        </w:rPr>
      </w:pPr>
      <w:r w:rsidRPr="005726EE">
        <w:rPr>
          <w:b/>
        </w:rPr>
        <w:t>Potential Risks</w:t>
      </w:r>
      <w:r w:rsidR="00CF2741">
        <w:rPr>
          <w:b/>
        </w:rPr>
        <w:t xml:space="preserve"> / Issues</w:t>
      </w:r>
    </w:p>
    <w:p w:rsidR="00E917D2" w:rsidRPr="005726EE" w:rsidRDefault="005726EE" w:rsidP="00772B83">
      <w:pPr>
        <w:spacing w:after="0" w:line="240" w:lineRule="auto"/>
        <w:rPr>
          <w:i/>
          <w:sz w:val="18"/>
          <w:szCs w:val="18"/>
        </w:rPr>
      </w:pPr>
      <w:r w:rsidRPr="005726EE">
        <w:rPr>
          <w:i/>
          <w:sz w:val="18"/>
          <w:szCs w:val="18"/>
        </w:rPr>
        <w:t>Outline any potential risks that might occur during consolidation including areas of potential consolidation costs. Provide recommendations if possible on prevention and/or mitigating these risks.</w:t>
      </w:r>
    </w:p>
    <w:p w:rsidR="00772B83" w:rsidRDefault="00772B83" w:rsidP="00772B83">
      <w:pPr>
        <w:spacing w:after="0" w:line="240" w:lineRule="auto"/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528"/>
        <w:gridCol w:w="2340"/>
        <w:gridCol w:w="3870"/>
      </w:tblGrid>
      <w:tr w:rsidR="008B5378" w:rsidTr="008B5378">
        <w:trPr>
          <w:trHeight w:val="278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8B5378" w:rsidRPr="00D02A34" w:rsidRDefault="008B5378" w:rsidP="005726EE">
            <w:pPr>
              <w:jc w:val="center"/>
              <w:rPr>
                <w:b/>
              </w:rPr>
            </w:pPr>
            <w:r w:rsidRPr="00D02A34">
              <w:rPr>
                <w:b/>
              </w:rPr>
              <w:t>Potential Risks</w:t>
            </w:r>
            <w:r>
              <w:rPr>
                <w:b/>
              </w:rPr>
              <w:t xml:space="preserve"> / Issues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8B5378" w:rsidRDefault="008B5378" w:rsidP="005726EE">
            <w:pPr>
              <w:jc w:val="center"/>
              <w:rPr>
                <w:b/>
              </w:rPr>
            </w:pPr>
            <w:r>
              <w:rPr>
                <w:b/>
              </w:rPr>
              <w:t xml:space="preserve">Likelihood </w:t>
            </w:r>
          </w:p>
          <w:p w:rsidR="008B5378" w:rsidRPr="00D02A34" w:rsidRDefault="008B5378" w:rsidP="005726EE">
            <w:pPr>
              <w:jc w:val="center"/>
              <w:rPr>
                <w:b/>
              </w:rPr>
            </w:pPr>
            <w:r>
              <w:rPr>
                <w:b/>
              </w:rPr>
              <w:t>(High/Medium/Low)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8B5378" w:rsidRPr="00D02A34" w:rsidRDefault="008B5378" w:rsidP="005726EE">
            <w:pPr>
              <w:jc w:val="center"/>
              <w:rPr>
                <w:b/>
              </w:rPr>
            </w:pPr>
            <w:r w:rsidRPr="00D02A34">
              <w:rPr>
                <w:b/>
              </w:rPr>
              <w:t>Prevention/Mitigation Strategy</w:t>
            </w:r>
          </w:p>
        </w:tc>
      </w:tr>
      <w:tr w:rsidR="008B5378" w:rsidTr="008B5378">
        <w:trPr>
          <w:trHeight w:val="612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378" w:rsidRDefault="005102A2" w:rsidP="003D7531">
            <w:r>
              <w:t>ACBSP reaffirmation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5378" w:rsidRDefault="005102A2" w:rsidP="003D7531">
            <w:r>
              <w:t>Medium</w:t>
            </w:r>
          </w:p>
          <w:p w:rsidR="008B5378" w:rsidRDefault="008B5378" w:rsidP="003D7531"/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5378" w:rsidRDefault="005102A2" w:rsidP="003D7531">
            <w:r>
              <w:t>Guidance will be sought on requirements during and after consolidation</w:t>
            </w:r>
          </w:p>
        </w:tc>
      </w:tr>
      <w:tr w:rsidR="008B5378" w:rsidTr="008B5378">
        <w:trPr>
          <w:trHeight w:val="556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378" w:rsidRDefault="005102A2" w:rsidP="003D7531">
            <w:r>
              <w:t>Staffing</w:t>
            </w:r>
          </w:p>
          <w:p w:rsidR="008B5378" w:rsidRDefault="008B5378" w:rsidP="003D753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378" w:rsidRDefault="005102A2" w:rsidP="003D7531">
            <w:r>
              <w:t>High</w:t>
            </w:r>
          </w:p>
          <w:p w:rsidR="008B5378" w:rsidRDefault="008B5378" w:rsidP="003D7531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378" w:rsidRDefault="005102A2" w:rsidP="003D7531">
            <w:r>
              <w:t>The needs and costs will be carefully assessed to ensure appropriate staffing, course coverage, and accreditation standards</w:t>
            </w:r>
          </w:p>
        </w:tc>
      </w:tr>
      <w:tr w:rsidR="008B5378" w:rsidTr="008B5378">
        <w:trPr>
          <w:trHeight w:val="556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378" w:rsidRDefault="005102A2" w:rsidP="001D4C45">
            <w:r>
              <w:t>Impact of math requirements on student enrollment</w:t>
            </w:r>
          </w:p>
          <w:p w:rsidR="008B5378" w:rsidRDefault="008B5378" w:rsidP="001D4C4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378" w:rsidRDefault="005102A2" w:rsidP="001D4C45">
            <w:r>
              <w:t>Medium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378" w:rsidRDefault="005102A2" w:rsidP="005102A2">
            <w:r>
              <w:t>Student data, learning outcomes, and pre-requisites will be assessed to determine needs.</w:t>
            </w:r>
          </w:p>
        </w:tc>
      </w:tr>
    </w:tbl>
    <w:p w:rsidR="009D66AF" w:rsidRDefault="009D66AF" w:rsidP="005102A2">
      <w:pPr>
        <w:spacing w:after="0" w:line="240" w:lineRule="auto"/>
        <w:rPr>
          <w:b/>
        </w:rPr>
      </w:pPr>
    </w:p>
    <w:p w:rsidR="001D1143" w:rsidRPr="00B23C25" w:rsidRDefault="009D09C6" w:rsidP="001D1143">
      <w:pPr>
        <w:shd w:val="clear" w:color="auto" w:fill="EDEDED" w:themeFill="accent3" w:themeFillTint="33"/>
        <w:spacing w:after="0" w:line="240" w:lineRule="auto"/>
        <w:rPr>
          <w:b/>
        </w:rPr>
      </w:pPr>
      <w:r w:rsidRPr="00B23C25">
        <w:rPr>
          <w:b/>
        </w:rPr>
        <w:t>Opportunities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9D09C6" w:rsidTr="009D09C6">
        <w:tc>
          <w:tcPr>
            <w:tcW w:w="9720" w:type="dxa"/>
            <w:tcBorders>
              <w:bottom w:val="single" w:sz="4" w:space="0" w:color="auto"/>
            </w:tcBorders>
          </w:tcPr>
          <w:p w:rsidR="009D09C6" w:rsidRDefault="009D09C6" w:rsidP="00772B83">
            <w:pPr>
              <w:rPr>
                <w:i/>
                <w:sz w:val="18"/>
                <w:szCs w:val="18"/>
              </w:rPr>
            </w:pPr>
            <w:r w:rsidRPr="009D09C6">
              <w:rPr>
                <w:i/>
                <w:sz w:val="18"/>
                <w:szCs w:val="18"/>
              </w:rPr>
              <w:t>Outline the opportunities that will result from the consolidation.</w:t>
            </w:r>
          </w:p>
          <w:p w:rsidR="009D09C6" w:rsidRPr="009D09C6" w:rsidRDefault="009D09C6" w:rsidP="00772B83">
            <w:pPr>
              <w:rPr>
                <w:i/>
                <w:sz w:val="18"/>
                <w:szCs w:val="18"/>
              </w:rPr>
            </w:pPr>
          </w:p>
          <w:p w:rsidR="009D09C6" w:rsidRDefault="005102A2" w:rsidP="00772B83">
            <w:r>
              <w:t>More bachelor’s degree graduates</w:t>
            </w:r>
          </w:p>
        </w:tc>
      </w:tr>
      <w:tr w:rsidR="005102A2" w:rsidTr="003C6BDF">
        <w:trPr>
          <w:trHeight w:val="547"/>
        </w:trPr>
        <w:tc>
          <w:tcPr>
            <w:tcW w:w="9720" w:type="dxa"/>
            <w:tcBorders>
              <w:top w:val="single" w:sz="4" w:space="0" w:color="auto"/>
            </w:tcBorders>
          </w:tcPr>
          <w:p w:rsidR="005102A2" w:rsidRDefault="005102A2" w:rsidP="001503D2">
            <w:r>
              <w:t>Students can pursue upper-level coursework before completion of a two-year degree</w:t>
            </w:r>
          </w:p>
        </w:tc>
      </w:tr>
      <w:tr w:rsidR="005102A2" w:rsidTr="009022AF">
        <w:trPr>
          <w:trHeight w:val="547"/>
        </w:trPr>
        <w:tc>
          <w:tcPr>
            <w:tcW w:w="9720" w:type="dxa"/>
            <w:tcBorders>
              <w:top w:val="single" w:sz="4" w:space="0" w:color="auto"/>
            </w:tcBorders>
          </w:tcPr>
          <w:p w:rsidR="005102A2" w:rsidRDefault="005102A2" w:rsidP="00736C08">
            <w:r>
              <w:t>Additional degree options could be pursued to meet student, economic, and community needs</w:t>
            </w:r>
          </w:p>
        </w:tc>
      </w:tr>
      <w:tr w:rsidR="009D09C6" w:rsidTr="009D09C6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9D09C6" w:rsidRDefault="005102A2" w:rsidP="00736C08">
            <w:r>
              <w:t>Opportunity for all students to earn additional credentials while pursuing a bachelor’s degree, such as certificates and associate degrees</w:t>
            </w:r>
          </w:p>
          <w:p w:rsidR="009D09C6" w:rsidRDefault="009D09C6" w:rsidP="00736C08"/>
        </w:tc>
      </w:tr>
      <w:tr w:rsidR="009D09C6" w:rsidTr="009D09C6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9D09C6" w:rsidRDefault="005102A2" w:rsidP="00736C08">
            <w:r>
              <w:t>More collaboration among faculty for teaching and research</w:t>
            </w:r>
          </w:p>
          <w:p w:rsidR="009D09C6" w:rsidRDefault="009D09C6" w:rsidP="00736C08"/>
        </w:tc>
      </w:tr>
      <w:tr w:rsidR="009D09C6" w:rsidTr="009D09C6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9D09C6" w:rsidRDefault="005102A2" w:rsidP="00736C08">
            <w:r>
              <w:t>Early accreditation consultation opportunities</w:t>
            </w:r>
          </w:p>
          <w:p w:rsidR="009D09C6" w:rsidRDefault="009D09C6" w:rsidP="00736C08"/>
        </w:tc>
      </w:tr>
    </w:tbl>
    <w:p w:rsidR="009D09C6" w:rsidRDefault="009D09C6" w:rsidP="003D7531">
      <w:pPr>
        <w:spacing w:after="0" w:line="240" w:lineRule="auto"/>
      </w:pPr>
    </w:p>
    <w:sectPr w:rsidR="009D09C6" w:rsidSect="00ED0809">
      <w:headerReference w:type="default" r:id="rId6"/>
      <w:foot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9B7" w:rsidRDefault="00F459B7" w:rsidP="00DB4F5F">
      <w:pPr>
        <w:spacing w:after="0" w:line="240" w:lineRule="auto"/>
      </w:pPr>
      <w:r>
        <w:separator/>
      </w:r>
    </w:p>
  </w:endnote>
  <w:endnote w:type="continuationSeparator" w:id="0">
    <w:p w:rsidR="00F459B7" w:rsidRDefault="00F459B7" w:rsidP="00DB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8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84644" w:rsidRDefault="00B8464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50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50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5D7B" w:rsidRDefault="00425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9B7" w:rsidRDefault="00F459B7" w:rsidP="00DB4F5F">
      <w:pPr>
        <w:spacing w:after="0" w:line="240" w:lineRule="auto"/>
      </w:pPr>
      <w:r>
        <w:separator/>
      </w:r>
    </w:p>
  </w:footnote>
  <w:footnote w:type="continuationSeparator" w:id="0">
    <w:p w:rsidR="00F459B7" w:rsidRDefault="00F459B7" w:rsidP="00DB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517" w:rsidRDefault="009D66AF" w:rsidP="00701517">
    <w:pPr>
      <w:pStyle w:val="Header"/>
      <w:tabs>
        <w:tab w:val="clear" w:pos="9360"/>
      </w:tabs>
      <w:ind w:right="-720"/>
    </w:pPr>
    <w:r w:rsidRPr="001301D6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2DBE936" wp14:editId="68F9C926">
              <wp:simplePos x="0" y="0"/>
              <wp:positionH relativeFrom="margin">
                <wp:align>right</wp:align>
              </wp:positionH>
              <wp:positionV relativeFrom="paragraph">
                <wp:posOffset>342900</wp:posOffset>
              </wp:positionV>
              <wp:extent cx="2409825" cy="6191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1517" w:rsidRPr="001301D6" w:rsidRDefault="00FA56B7" w:rsidP="00701517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Consolidation Committee</w:t>
                          </w:r>
                        </w:p>
                        <w:p w:rsidR="00701517" w:rsidRPr="001301D6" w:rsidRDefault="006C202B" w:rsidP="00701517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Planning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BE9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55pt;margin-top:27pt;width:189.75pt;height:48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QNHwIAAB0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" stroked="f">
              <v:textbox>
                <w:txbxContent>
                  <w:p w:rsidR="00701517" w:rsidRPr="001301D6" w:rsidRDefault="00FA56B7" w:rsidP="00701517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Consolidation Committee</w:t>
                    </w:r>
                  </w:p>
                  <w:p w:rsidR="00701517" w:rsidRPr="001301D6" w:rsidRDefault="006C202B" w:rsidP="00701517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Planning Document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8180A">
      <w:rPr>
        <w:rFonts w:ascii="Arial" w:hAnsi="Arial" w:cs="Arial"/>
        <w:noProof/>
        <w:color w:val="0000FF"/>
        <w:sz w:val="27"/>
        <w:szCs w:val="27"/>
      </w:rPr>
      <w:drawing>
        <wp:inline distT="0" distB="0" distL="0" distR="0" wp14:anchorId="6172641A" wp14:editId="7C772171">
          <wp:extent cx="1591377" cy="1062990"/>
          <wp:effectExtent l="0" t="0" r="8890" b="3810"/>
          <wp:docPr id="1" name="Picture 1" descr="Image result for albany state university logo graphi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albany state university logo graphi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041" cy="1104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180A" w:rsidRPr="007B05AE">
      <w:rPr>
        <w:rFonts w:ascii="Arial" w:hAnsi="Arial" w:cs="Arial"/>
        <w:noProof/>
        <w:color w:val="0000FF"/>
        <w:sz w:val="28"/>
        <w:szCs w:val="18"/>
      </w:rPr>
      <w:drawing>
        <wp:inline distT="0" distB="0" distL="0" distR="0" wp14:anchorId="3F7BF175" wp14:editId="031951B6">
          <wp:extent cx="1876425" cy="1196309"/>
          <wp:effectExtent l="0" t="0" r="0" b="0"/>
          <wp:docPr id="3" name="Picture 3" descr="Click here to return to the Darton State College Home Page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Click here to return to the Darton State College Home Page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185" cy="125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56B7">
      <w:tab/>
    </w:r>
    <w:r w:rsidR="00FA56B7">
      <w:tab/>
    </w:r>
    <w:r w:rsidR="00FA56B7">
      <w:tab/>
    </w:r>
    <w:r w:rsidR="00FA56B7">
      <w:tab/>
    </w:r>
    <w:r w:rsidR="0078180A">
      <w:tab/>
    </w:r>
    <w:r w:rsidR="00FA56B7">
      <w:tab/>
    </w:r>
    <w:r w:rsidR="00FA56B7">
      <w:tab/>
    </w:r>
  </w:p>
  <w:p w:rsidR="00701517" w:rsidRDefault="007015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0"/>
    <w:rsid w:val="00040D70"/>
    <w:rsid w:val="00072F80"/>
    <w:rsid w:val="0007792B"/>
    <w:rsid w:val="00095030"/>
    <w:rsid w:val="000A615A"/>
    <w:rsid w:val="000B71B8"/>
    <w:rsid w:val="001301D6"/>
    <w:rsid w:val="001503D2"/>
    <w:rsid w:val="001846F4"/>
    <w:rsid w:val="001D1143"/>
    <w:rsid w:val="001D4C45"/>
    <w:rsid w:val="00236BD3"/>
    <w:rsid w:val="00274F97"/>
    <w:rsid w:val="00292751"/>
    <w:rsid w:val="002A265E"/>
    <w:rsid w:val="003170EC"/>
    <w:rsid w:val="0032161B"/>
    <w:rsid w:val="003315DE"/>
    <w:rsid w:val="003405BD"/>
    <w:rsid w:val="00353CA2"/>
    <w:rsid w:val="00356ED8"/>
    <w:rsid w:val="003C6D23"/>
    <w:rsid w:val="003C71B6"/>
    <w:rsid w:val="003D0C3F"/>
    <w:rsid w:val="003D7531"/>
    <w:rsid w:val="00425D7B"/>
    <w:rsid w:val="00434A46"/>
    <w:rsid w:val="00436F4E"/>
    <w:rsid w:val="004606EA"/>
    <w:rsid w:val="004845E8"/>
    <w:rsid w:val="004A1F3F"/>
    <w:rsid w:val="004B5CD3"/>
    <w:rsid w:val="004D59BF"/>
    <w:rsid w:val="004E430F"/>
    <w:rsid w:val="005102A2"/>
    <w:rsid w:val="005114BD"/>
    <w:rsid w:val="00533BC0"/>
    <w:rsid w:val="005726EE"/>
    <w:rsid w:val="005E1D27"/>
    <w:rsid w:val="006474D3"/>
    <w:rsid w:val="006C202B"/>
    <w:rsid w:val="006C31E2"/>
    <w:rsid w:val="006F1704"/>
    <w:rsid w:val="00701517"/>
    <w:rsid w:val="007060DD"/>
    <w:rsid w:val="00736C08"/>
    <w:rsid w:val="00752B9C"/>
    <w:rsid w:val="00761CE4"/>
    <w:rsid w:val="00767F58"/>
    <w:rsid w:val="00770B62"/>
    <w:rsid w:val="00772B83"/>
    <w:rsid w:val="0078180A"/>
    <w:rsid w:val="007A2538"/>
    <w:rsid w:val="007F6AD2"/>
    <w:rsid w:val="00800C35"/>
    <w:rsid w:val="00802C12"/>
    <w:rsid w:val="008126EA"/>
    <w:rsid w:val="00835623"/>
    <w:rsid w:val="008360BC"/>
    <w:rsid w:val="00867182"/>
    <w:rsid w:val="008A6E74"/>
    <w:rsid w:val="008B47BF"/>
    <w:rsid w:val="008B5378"/>
    <w:rsid w:val="008F1089"/>
    <w:rsid w:val="00907449"/>
    <w:rsid w:val="009526E1"/>
    <w:rsid w:val="00983CEB"/>
    <w:rsid w:val="009B5BD6"/>
    <w:rsid w:val="009C05E0"/>
    <w:rsid w:val="009D09C6"/>
    <w:rsid w:val="009D66AF"/>
    <w:rsid w:val="009E2FA2"/>
    <w:rsid w:val="009F0894"/>
    <w:rsid w:val="009F7868"/>
    <w:rsid w:val="00A03819"/>
    <w:rsid w:val="00A12E9C"/>
    <w:rsid w:val="00A307C1"/>
    <w:rsid w:val="00A5579B"/>
    <w:rsid w:val="00A604A2"/>
    <w:rsid w:val="00AA16D1"/>
    <w:rsid w:val="00AC0576"/>
    <w:rsid w:val="00AF075F"/>
    <w:rsid w:val="00AF54AB"/>
    <w:rsid w:val="00AF67D2"/>
    <w:rsid w:val="00B14554"/>
    <w:rsid w:val="00B23C25"/>
    <w:rsid w:val="00B30FE5"/>
    <w:rsid w:val="00B33326"/>
    <w:rsid w:val="00B421F4"/>
    <w:rsid w:val="00B4384A"/>
    <w:rsid w:val="00B56547"/>
    <w:rsid w:val="00B71A4F"/>
    <w:rsid w:val="00B72846"/>
    <w:rsid w:val="00B84644"/>
    <w:rsid w:val="00B90A3E"/>
    <w:rsid w:val="00B937DA"/>
    <w:rsid w:val="00B93CD1"/>
    <w:rsid w:val="00BA2CE3"/>
    <w:rsid w:val="00BF1536"/>
    <w:rsid w:val="00C62F33"/>
    <w:rsid w:val="00CC37A1"/>
    <w:rsid w:val="00CF2741"/>
    <w:rsid w:val="00D02A34"/>
    <w:rsid w:val="00D21034"/>
    <w:rsid w:val="00D21A70"/>
    <w:rsid w:val="00D37D92"/>
    <w:rsid w:val="00D426F7"/>
    <w:rsid w:val="00D47C16"/>
    <w:rsid w:val="00D948EF"/>
    <w:rsid w:val="00DB4F5F"/>
    <w:rsid w:val="00DC2A0C"/>
    <w:rsid w:val="00DD097C"/>
    <w:rsid w:val="00E122E0"/>
    <w:rsid w:val="00E8385F"/>
    <w:rsid w:val="00E917D2"/>
    <w:rsid w:val="00EC43AD"/>
    <w:rsid w:val="00EC5AD0"/>
    <w:rsid w:val="00ED0809"/>
    <w:rsid w:val="00F459B7"/>
    <w:rsid w:val="00F50B2C"/>
    <w:rsid w:val="00FA0D4D"/>
    <w:rsid w:val="00FA3D86"/>
    <w:rsid w:val="00FA56B7"/>
    <w:rsid w:val="00FB7CB9"/>
    <w:rsid w:val="00FC336C"/>
    <w:rsid w:val="00FC5767"/>
    <w:rsid w:val="00FD74B0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F1A752-2D80-4794-9738-DDB34862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F5F"/>
  </w:style>
  <w:style w:type="paragraph" w:styleId="Footer">
    <w:name w:val="footer"/>
    <w:basedOn w:val="Normal"/>
    <w:link w:val="FooterChar"/>
    <w:uiPriority w:val="99"/>
    <w:unhideWhenUsed/>
    <w:rsid w:val="00DB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F5F"/>
  </w:style>
  <w:style w:type="character" w:styleId="PlaceholderText">
    <w:name w:val="Placeholder Text"/>
    <w:basedOn w:val="DefaultParagraphFont"/>
    <w:uiPriority w:val="99"/>
    <w:semiHidden/>
    <w:rsid w:val="007A2538"/>
    <w:rPr>
      <w:color w:val="808080"/>
    </w:rPr>
  </w:style>
  <w:style w:type="table" w:styleId="TableGrid">
    <w:name w:val="Table Grid"/>
    <w:basedOn w:val="TableNormal"/>
    <w:uiPriority w:val="39"/>
    <w:rsid w:val="00ED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rton.edu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google.com/imgres?imgurl=https://upload.wikimedia.org/wikipedia/en/f/f6/Albany_State_University_logo.png&amp;imgrefurl=http://javla.com/Images/albany-state-university-address/0&amp;h=214&amp;w=320&amp;tbnid=W960f6Qv51St2M:&amp;docid=XU6DOoxr3q-NsM&amp;itg=1&amp;ei=BTloVsfgBIXa-QHBioHYAg&amp;tbm=isch&amp;ved=0ahUKEwiH97aA_c7JAhUFbT4KHUFFACsQMwg7KBQwFA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unk\AppData\Local\Microsoft\Windows\Temporary%20Internet%20Files\Content.Outlook\KRNS8F92\Consolidation%20Work%20Group%20Plann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Consolidation Work Group Planning Template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Polytechnic State University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M. Leigh Funk</dc:creator>
  <cp:lastModifiedBy>Randy S Stuart</cp:lastModifiedBy>
  <cp:revision>2</cp:revision>
  <cp:lastPrinted>2016-01-25T22:33:00Z</cp:lastPrinted>
  <dcterms:created xsi:type="dcterms:W3CDTF">2016-02-24T15:08:00Z</dcterms:created>
  <dcterms:modified xsi:type="dcterms:W3CDTF">2016-02-24T15:08:00Z</dcterms:modified>
</cp:coreProperties>
</file>