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C5" w:rsidRDefault="002E33C5" w:rsidP="002E33C5">
      <w:pPr>
        <w:spacing w:after="200" w:line="276" w:lineRule="auto"/>
        <w:jc w:val="both"/>
        <w:rPr>
          <w:rFonts w:ascii="Times New Roman" w:hAnsi="Times New Roman" w:cs="Times New Roman"/>
          <w:b/>
          <w:sz w:val="24"/>
          <w:szCs w:val="24"/>
        </w:rPr>
      </w:pPr>
      <w:r w:rsidRPr="002E33C5">
        <w:rPr>
          <w:rFonts w:ascii="Times New Roman" w:hAnsi="Times New Roman" w:cs="Times New Roman"/>
          <w:b/>
          <w:sz w:val="24"/>
          <w:szCs w:val="24"/>
        </w:rPr>
        <w:t xml:space="preserve">Nano-Bio Materials for Therapeutic Applications: Synthesis of Encapsulated Sulfanilamide Antibiotics </w:t>
      </w:r>
    </w:p>
    <w:p w:rsidR="002E33C5" w:rsidRDefault="002E33C5" w:rsidP="002E33C5">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Ghislain Mandouma, Ph.D. Department of Chemistry &amp; Forensic Sciences, Albany State University, Albany GA 31705</w:t>
      </w:r>
    </w:p>
    <w:p w:rsidR="002E33C5" w:rsidRPr="002E33C5" w:rsidRDefault="002E33C5" w:rsidP="002E33C5">
      <w:pPr>
        <w:spacing w:after="0" w:line="240" w:lineRule="auto"/>
        <w:contextualSpacing/>
        <w:jc w:val="both"/>
        <w:rPr>
          <w:rFonts w:ascii="Times New Roman" w:hAnsi="Times New Roman" w:cs="Times New Roman"/>
          <w:b/>
          <w:sz w:val="24"/>
          <w:szCs w:val="24"/>
        </w:rPr>
      </w:pPr>
      <w:r w:rsidRPr="002E33C5">
        <w:rPr>
          <w:rFonts w:ascii="Times New Roman" w:hAnsi="Times New Roman" w:cs="Times New Roman"/>
          <w:b/>
          <w:sz w:val="24"/>
          <w:szCs w:val="24"/>
        </w:rPr>
        <w:t>Summary- Broader Impacts Statement</w:t>
      </w:r>
    </w:p>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 xml:space="preserve">Summary of Proposed Work – </w:t>
      </w:r>
    </w:p>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Funds are being requested to fund summer internships at</w:t>
      </w:r>
      <w:r>
        <w:rPr>
          <w:rFonts w:ascii="Times New Roman" w:hAnsi="Times New Roman" w:cs="Times New Roman"/>
          <w:sz w:val="24"/>
          <w:szCs w:val="24"/>
        </w:rPr>
        <w:t xml:space="preserve"> Albany State University for two (2</w:t>
      </w:r>
      <w:r w:rsidRPr="002E33C5">
        <w:rPr>
          <w:rFonts w:ascii="Times New Roman" w:hAnsi="Times New Roman" w:cs="Times New Roman"/>
          <w:sz w:val="24"/>
          <w:szCs w:val="24"/>
        </w:rPr>
        <w:t>)</w:t>
      </w:r>
      <w:r>
        <w:rPr>
          <w:rFonts w:ascii="Times New Roman" w:hAnsi="Times New Roman" w:cs="Times New Roman"/>
          <w:sz w:val="24"/>
          <w:szCs w:val="24"/>
        </w:rPr>
        <w:t xml:space="preserve"> undergraduate students</w:t>
      </w:r>
      <w:r w:rsidRPr="002E33C5">
        <w:rPr>
          <w:rFonts w:ascii="Times New Roman" w:hAnsi="Times New Roman" w:cs="Times New Roman"/>
          <w:sz w:val="24"/>
          <w:szCs w:val="24"/>
        </w:rPr>
        <w:t xml:space="preserve"> who will be trained in three different aspects of nanot</w:t>
      </w:r>
      <w:r>
        <w:rPr>
          <w:rFonts w:ascii="Times New Roman" w:hAnsi="Times New Roman" w:cs="Times New Roman"/>
          <w:sz w:val="24"/>
          <w:szCs w:val="24"/>
        </w:rPr>
        <w:t>echnology research. This research project</w:t>
      </w:r>
      <w:r w:rsidRPr="002E33C5">
        <w:rPr>
          <w:rFonts w:ascii="Times New Roman" w:hAnsi="Times New Roman" w:cs="Times New Roman"/>
          <w:sz w:val="24"/>
          <w:szCs w:val="24"/>
        </w:rPr>
        <w:t xml:space="preserve"> encompass</w:t>
      </w:r>
      <w:r>
        <w:rPr>
          <w:rFonts w:ascii="Times New Roman" w:hAnsi="Times New Roman" w:cs="Times New Roman"/>
          <w:sz w:val="24"/>
          <w:szCs w:val="24"/>
        </w:rPr>
        <w:t>es</w:t>
      </w:r>
      <w:r w:rsidRPr="002E33C5">
        <w:rPr>
          <w:rFonts w:ascii="Times New Roman" w:hAnsi="Times New Roman" w:cs="Times New Roman"/>
          <w:sz w:val="24"/>
          <w:szCs w:val="24"/>
        </w:rPr>
        <w:t xml:space="preserve"> the use of nanotechnology in </w:t>
      </w:r>
      <w:proofErr w:type="spellStart"/>
      <w:r w:rsidRPr="002E33C5">
        <w:rPr>
          <w:rFonts w:ascii="Times New Roman" w:hAnsi="Times New Roman" w:cs="Times New Roman"/>
          <w:sz w:val="24"/>
          <w:szCs w:val="24"/>
        </w:rPr>
        <w:t>i</w:t>
      </w:r>
      <w:proofErr w:type="spellEnd"/>
      <w:r w:rsidRPr="002E33C5">
        <w:rPr>
          <w:rFonts w:ascii="Times New Roman" w:hAnsi="Times New Roman" w:cs="Times New Roman"/>
          <w:sz w:val="24"/>
          <w:szCs w:val="24"/>
        </w:rPr>
        <w:t>) detection/sensing, ii) engineering and iii) applications. These students will be supervised by the faculty at Albany State University, Department of Chemistry &amp; Forensic Sciences which is adequately equipped with modern instrumentation, and the spac</w:t>
      </w:r>
      <w:r>
        <w:rPr>
          <w:rFonts w:ascii="Times New Roman" w:hAnsi="Times New Roman" w:cs="Times New Roman"/>
          <w:sz w:val="24"/>
          <w:szCs w:val="24"/>
        </w:rPr>
        <w:t xml:space="preserve">e needed to accommodate a </w:t>
      </w:r>
      <w:r w:rsidRPr="002E33C5">
        <w:rPr>
          <w:rFonts w:ascii="Times New Roman" w:hAnsi="Times New Roman" w:cs="Times New Roman"/>
          <w:sz w:val="24"/>
          <w:szCs w:val="24"/>
        </w:rPr>
        <w:t>Research Experience for Undergraduate</w:t>
      </w:r>
      <w:r>
        <w:rPr>
          <w:rFonts w:ascii="Times New Roman" w:hAnsi="Times New Roman" w:cs="Times New Roman"/>
          <w:sz w:val="24"/>
          <w:szCs w:val="24"/>
        </w:rPr>
        <w:t xml:space="preserve"> summer</w:t>
      </w:r>
      <w:r w:rsidRPr="002E33C5">
        <w:rPr>
          <w:rFonts w:ascii="Times New Roman" w:hAnsi="Times New Roman" w:cs="Times New Roman"/>
          <w:sz w:val="24"/>
          <w:szCs w:val="24"/>
        </w:rPr>
        <w:t xml:space="preserve"> program in nanotechnology.</w:t>
      </w:r>
    </w:p>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One transformative aspect of this project is to introduce underserved economically disadvantaged and minority students, including women, of southwest Georgia to nanotechnology and its practical applications. Preparing these students to integrate the workforce with up to date knowledge in cutting edge science and technology is a national security priority and will reinvigorate the local and regional economy. Research Experience for Undergraduate (REU) tops the list of best practices for successful students training and their seamless transition into the workforce. Our innovative approach to the REU proposes training tracks associated to emerging industries and biotech firms. Proposed research projects, herein, are interdisciplinary and designed to expose students to research encompassing more than one STEM discipline, from fundamental principles of chemical synthesis of nanoparticles to their physio-chemical characterization and/or bio-chemical evaluation in living organisms as well as their use in modern, technologically advanced devices.</w:t>
      </w:r>
    </w:p>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Specific objectives include</w:t>
      </w:r>
    </w:p>
    <w:p w:rsidR="002E33C5" w:rsidRPr="002E33C5" w:rsidRDefault="002E33C5" w:rsidP="002E33C5">
      <w:pPr>
        <w:numPr>
          <w:ilvl w:val="0"/>
          <w:numId w:val="1"/>
        </w:numPr>
        <w:contextualSpacing/>
        <w:jc w:val="both"/>
        <w:rPr>
          <w:rFonts w:ascii="Times New Roman" w:hAnsi="Times New Roman" w:cs="Times New Roman"/>
          <w:sz w:val="24"/>
          <w:szCs w:val="24"/>
        </w:rPr>
      </w:pPr>
      <w:r w:rsidRPr="002E33C5">
        <w:rPr>
          <w:rFonts w:ascii="Times New Roman" w:hAnsi="Times New Roman" w:cs="Times New Roman"/>
          <w:sz w:val="24"/>
          <w:szCs w:val="24"/>
        </w:rPr>
        <w:t>Implementation of interdisciplinary research in the STEM fields of chemistry, biology, physics, and forensic sciences.</w:t>
      </w:r>
    </w:p>
    <w:p w:rsidR="002E33C5" w:rsidRPr="002E33C5" w:rsidRDefault="002E33C5" w:rsidP="002E33C5">
      <w:pPr>
        <w:numPr>
          <w:ilvl w:val="0"/>
          <w:numId w:val="1"/>
        </w:numPr>
        <w:contextualSpacing/>
        <w:jc w:val="both"/>
        <w:rPr>
          <w:rFonts w:ascii="Times New Roman" w:hAnsi="Times New Roman" w:cs="Times New Roman"/>
          <w:sz w:val="24"/>
          <w:szCs w:val="24"/>
        </w:rPr>
      </w:pPr>
      <w:r w:rsidRPr="002E33C5">
        <w:rPr>
          <w:rFonts w:ascii="Times New Roman" w:hAnsi="Times New Roman" w:cs="Times New Roman"/>
          <w:sz w:val="24"/>
          <w:szCs w:val="24"/>
        </w:rPr>
        <w:t>ii.</w:t>
      </w:r>
      <w:r w:rsidRPr="002E33C5">
        <w:rPr>
          <w:rFonts w:ascii="Times New Roman" w:hAnsi="Times New Roman" w:cs="Times New Roman"/>
          <w:sz w:val="24"/>
          <w:szCs w:val="24"/>
        </w:rPr>
        <w:tab/>
        <w:t>Increase students’ content knowledge of the field of nanoscience and nanotechnology: 100% of students that engage in activities will demonstrate growth in nanotechnology content knowledge.</w:t>
      </w:r>
    </w:p>
    <w:p w:rsidR="002E33C5" w:rsidRPr="002E33C5" w:rsidRDefault="002E33C5" w:rsidP="002E33C5">
      <w:pPr>
        <w:numPr>
          <w:ilvl w:val="0"/>
          <w:numId w:val="1"/>
        </w:numPr>
        <w:contextualSpacing/>
        <w:jc w:val="both"/>
        <w:rPr>
          <w:rFonts w:ascii="Times New Roman" w:hAnsi="Times New Roman" w:cs="Times New Roman"/>
          <w:sz w:val="24"/>
          <w:szCs w:val="24"/>
        </w:rPr>
      </w:pPr>
      <w:r w:rsidRPr="002E33C5">
        <w:rPr>
          <w:rFonts w:ascii="Times New Roman" w:hAnsi="Times New Roman" w:cs="Times New Roman"/>
          <w:sz w:val="24"/>
          <w:szCs w:val="24"/>
        </w:rPr>
        <w:t>iii.</w:t>
      </w:r>
      <w:r w:rsidRPr="002E33C5">
        <w:rPr>
          <w:rFonts w:ascii="Times New Roman" w:hAnsi="Times New Roman" w:cs="Times New Roman"/>
          <w:sz w:val="24"/>
          <w:szCs w:val="24"/>
        </w:rPr>
        <w:tab/>
        <w:t>Improve student research and critical thinking skills: 9</w:t>
      </w:r>
      <w:r>
        <w:rPr>
          <w:rFonts w:ascii="Times New Roman" w:hAnsi="Times New Roman" w:cs="Times New Roman"/>
          <w:sz w:val="24"/>
          <w:szCs w:val="24"/>
        </w:rPr>
        <w:t>0</w:t>
      </w:r>
      <w:r w:rsidRPr="002E33C5">
        <w:rPr>
          <w:rFonts w:ascii="Times New Roman" w:hAnsi="Times New Roman" w:cs="Times New Roman"/>
          <w:sz w:val="24"/>
          <w:szCs w:val="24"/>
        </w:rPr>
        <w:t>% of students will demonstrate growth in research and problem solving skills.</w:t>
      </w:r>
    </w:p>
    <w:p w:rsidR="002E33C5" w:rsidRDefault="002E33C5" w:rsidP="002E33C5">
      <w:pPr>
        <w:spacing w:after="200" w:line="276" w:lineRule="auto"/>
        <w:jc w:val="both"/>
        <w:rPr>
          <w:rFonts w:ascii="Times New Roman" w:hAnsi="Times New Roman" w:cs="Times New Roman"/>
          <w:sz w:val="24"/>
          <w:szCs w:val="24"/>
        </w:rPr>
      </w:pPr>
    </w:p>
    <w:p w:rsidR="002E33C5" w:rsidRDefault="002E33C5" w:rsidP="002E33C5">
      <w:pPr>
        <w:spacing w:after="200" w:line="276" w:lineRule="auto"/>
        <w:jc w:val="both"/>
        <w:rPr>
          <w:rFonts w:ascii="Times New Roman" w:hAnsi="Times New Roman" w:cs="Times New Roman"/>
          <w:sz w:val="24"/>
          <w:szCs w:val="24"/>
        </w:rPr>
      </w:pPr>
    </w:p>
    <w:p w:rsidR="002E33C5" w:rsidRDefault="002E33C5" w:rsidP="002E33C5">
      <w:pPr>
        <w:spacing w:after="200" w:line="276" w:lineRule="auto"/>
        <w:jc w:val="both"/>
        <w:rPr>
          <w:rFonts w:ascii="Times New Roman" w:hAnsi="Times New Roman" w:cs="Times New Roman"/>
          <w:sz w:val="24"/>
          <w:szCs w:val="24"/>
        </w:rPr>
      </w:pPr>
    </w:p>
    <w:p w:rsidR="002E33C5" w:rsidRPr="002E33C5" w:rsidRDefault="002E33C5" w:rsidP="002E33C5">
      <w:pPr>
        <w:spacing w:after="200" w:line="276" w:lineRule="auto"/>
        <w:jc w:val="both"/>
        <w:rPr>
          <w:rFonts w:ascii="Times New Roman" w:hAnsi="Times New Roman" w:cs="Times New Roman"/>
          <w:sz w:val="24"/>
          <w:szCs w:val="24"/>
        </w:rPr>
      </w:pPr>
    </w:p>
    <w:p w:rsidR="002E33C5" w:rsidRPr="002E33C5" w:rsidRDefault="002E33C5" w:rsidP="002E33C5">
      <w:pPr>
        <w:spacing w:after="200" w:line="276" w:lineRule="auto"/>
        <w:jc w:val="both"/>
        <w:rPr>
          <w:rFonts w:ascii="Times New Roman" w:hAnsi="Times New Roman" w:cs="Times New Roman"/>
          <w:b/>
          <w:sz w:val="24"/>
          <w:szCs w:val="24"/>
        </w:rPr>
      </w:pPr>
      <w:r w:rsidRPr="002E33C5">
        <w:rPr>
          <w:rFonts w:ascii="Times New Roman" w:hAnsi="Times New Roman" w:cs="Times New Roman"/>
          <w:b/>
          <w:sz w:val="24"/>
          <w:szCs w:val="24"/>
        </w:rPr>
        <w:lastRenderedPageBreak/>
        <w:t>Background and Hypothesis</w:t>
      </w:r>
    </w:p>
    <w:p w:rsidR="002E33C5" w:rsidRPr="002E33C5" w:rsidRDefault="002E33C5" w:rsidP="002E33C5">
      <w:pPr>
        <w:spacing w:after="200" w:line="240" w:lineRule="auto"/>
        <w:jc w:val="both"/>
        <w:rPr>
          <w:rFonts w:ascii="Times New Roman" w:hAnsi="Times New Roman" w:cs="Times New Roman"/>
          <w:sz w:val="24"/>
          <w:szCs w:val="24"/>
        </w:rPr>
      </w:pPr>
      <w:r w:rsidRPr="002E33C5">
        <w:rPr>
          <w:rFonts w:ascii="Times New Roman" w:hAnsi="Times New Roman" w:cs="Times New Roman"/>
          <w:sz w:val="24"/>
          <w:szCs w:val="24"/>
        </w:rPr>
        <w:t xml:space="preserve">Infectious diseases, and drug resistance to common antibiotic drugs continue to represent a major threat to human health [1]. In developing countries, millions of children die each year due to infections that are otherwise treatable. Sulfa drugs or </w:t>
      </w:r>
      <w:proofErr w:type="spellStart"/>
      <w:r w:rsidRPr="002E33C5">
        <w:rPr>
          <w:rFonts w:ascii="Times New Roman" w:hAnsi="Times New Roman" w:cs="Times New Roman"/>
          <w:sz w:val="24"/>
          <w:szCs w:val="24"/>
        </w:rPr>
        <w:t>sulfanilamides</w:t>
      </w:r>
      <w:proofErr w:type="spellEnd"/>
      <w:r w:rsidRPr="002E33C5">
        <w:rPr>
          <w:rFonts w:ascii="Times New Roman" w:hAnsi="Times New Roman" w:cs="Times New Roman"/>
          <w:sz w:val="24"/>
          <w:szCs w:val="24"/>
        </w:rPr>
        <w:t xml:space="preserve"> are inexpensive, yet effective antibacterial drugs that have been known for more than a century [2]. Several types of sulfa drugs are marketed for treatment of common bacterial infections (skin, bladder, respiratory or urinary track etc.) in addition to being effective against malaria. </w:t>
      </w:r>
      <w:proofErr w:type="spellStart"/>
      <w:r w:rsidRPr="002E33C5">
        <w:rPr>
          <w:rFonts w:ascii="Times New Roman" w:hAnsi="Times New Roman" w:cs="Times New Roman"/>
          <w:sz w:val="24"/>
          <w:szCs w:val="24"/>
        </w:rPr>
        <w:t>Sulfanilamides</w:t>
      </w:r>
      <w:proofErr w:type="spellEnd"/>
      <w:r w:rsidRPr="002E33C5">
        <w:rPr>
          <w:rFonts w:ascii="Times New Roman" w:hAnsi="Times New Roman" w:cs="Times New Roman"/>
          <w:sz w:val="24"/>
          <w:szCs w:val="24"/>
        </w:rPr>
        <w:t xml:space="preserve"> control the growth of bacteria (bacteriostatic) by inhibiting folic acid synthesis needed for bacterial growth. Sulfanilamide is structurally similar to </w:t>
      </w:r>
      <w:r w:rsidRPr="002E33C5">
        <w:rPr>
          <w:rFonts w:ascii="Times New Roman" w:hAnsi="Times New Roman" w:cs="Times New Roman"/>
          <w:i/>
          <w:sz w:val="24"/>
          <w:szCs w:val="24"/>
        </w:rPr>
        <w:t>p</w:t>
      </w:r>
      <w:r w:rsidRPr="002E33C5">
        <w:rPr>
          <w:rFonts w:ascii="Times New Roman" w:hAnsi="Times New Roman" w:cs="Times New Roman"/>
          <w:sz w:val="24"/>
          <w:szCs w:val="24"/>
        </w:rPr>
        <w:t>-</w:t>
      </w:r>
      <w:proofErr w:type="spellStart"/>
      <w:r w:rsidRPr="002E33C5">
        <w:rPr>
          <w:rFonts w:ascii="Times New Roman" w:hAnsi="Times New Roman" w:cs="Times New Roman"/>
          <w:sz w:val="24"/>
          <w:szCs w:val="24"/>
        </w:rPr>
        <w:t>aminobenzoic</w:t>
      </w:r>
      <w:proofErr w:type="spellEnd"/>
      <w:r w:rsidRPr="002E33C5">
        <w:rPr>
          <w:rFonts w:ascii="Times New Roman" w:hAnsi="Times New Roman" w:cs="Times New Roman"/>
          <w:sz w:val="24"/>
          <w:szCs w:val="24"/>
        </w:rPr>
        <w:t xml:space="preserve"> acid (PABA) which is part of </w:t>
      </w:r>
      <w:proofErr w:type="spellStart"/>
      <w:r w:rsidRPr="002E33C5">
        <w:rPr>
          <w:rFonts w:ascii="Times New Roman" w:hAnsi="Times New Roman" w:cs="Times New Roman"/>
          <w:sz w:val="24"/>
          <w:szCs w:val="24"/>
        </w:rPr>
        <w:t>dihydrofolate</w:t>
      </w:r>
      <w:proofErr w:type="spellEnd"/>
      <w:r w:rsidRPr="002E33C5">
        <w:rPr>
          <w:rFonts w:ascii="Times New Roman" w:hAnsi="Times New Roman" w:cs="Times New Roman"/>
          <w:sz w:val="24"/>
          <w:szCs w:val="24"/>
        </w:rPr>
        <w:t xml:space="preserve">. Bacterial growth is hindered by the progressive replacement of PABA by sulfanilamide during </w:t>
      </w:r>
      <w:proofErr w:type="spellStart"/>
      <w:r w:rsidRPr="002E33C5">
        <w:rPr>
          <w:rFonts w:ascii="Times New Roman" w:hAnsi="Times New Roman" w:cs="Times New Roman"/>
          <w:sz w:val="24"/>
          <w:szCs w:val="24"/>
        </w:rPr>
        <w:t>dihydrofolate</w:t>
      </w:r>
      <w:proofErr w:type="spellEnd"/>
      <w:r w:rsidRPr="002E33C5">
        <w:rPr>
          <w:rFonts w:ascii="Times New Roman" w:hAnsi="Times New Roman" w:cs="Times New Roman"/>
          <w:sz w:val="24"/>
          <w:szCs w:val="24"/>
        </w:rPr>
        <w:t xml:space="preserve"> biosynthesis in bacteria. Therefore </w:t>
      </w:r>
      <w:proofErr w:type="spellStart"/>
      <w:r w:rsidRPr="002E33C5">
        <w:rPr>
          <w:rFonts w:ascii="Times New Roman" w:hAnsi="Times New Roman" w:cs="Times New Roman"/>
          <w:sz w:val="24"/>
          <w:szCs w:val="24"/>
        </w:rPr>
        <w:t>sulfanilamides</w:t>
      </w:r>
      <w:proofErr w:type="spellEnd"/>
      <w:r w:rsidRPr="002E33C5">
        <w:rPr>
          <w:rFonts w:ascii="Times New Roman" w:hAnsi="Times New Roman" w:cs="Times New Roman"/>
          <w:sz w:val="24"/>
          <w:szCs w:val="24"/>
        </w:rPr>
        <w:t xml:space="preserve"> are considered inhibitors of </w:t>
      </w:r>
      <w:proofErr w:type="spellStart"/>
      <w:r w:rsidRPr="002E33C5">
        <w:rPr>
          <w:rFonts w:ascii="Times New Roman" w:hAnsi="Times New Roman" w:cs="Times New Roman"/>
          <w:sz w:val="24"/>
          <w:szCs w:val="24"/>
        </w:rPr>
        <w:t>dihydropteroate</w:t>
      </w:r>
      <w:proofErr w:type="spellEnd"/>
      <w:r w:rsidRPr="002E33C5">
        <w:rPr>
          <w:rFonts w:ascii="Times New Roman" w:hAnsi="Times New Roman" w:cs="Times New Roman"/>
          <w:sz w:val="24"/>
          <w:szCs w:val="24"/>
        </w:rPr>
        <w:t xml:space="preserve"> </w:t>
      </w:r>
      <w:proofErr w:type="spellStart"/>
      <w:r w:rsidRPr="002E33C5">
        <w:rPr>
          <w:rFonts w:ascii="Times New Roman" w:hAnsi="Times New Roman" w:cs="Times New Roman"/>
          <w:sz w:val="24"/>
          <w:szCs w:val="24"/>
        </w:rPr>
        <w:t>synthetase</w:t>
      </w:r>
      <w:proofErr w:type="spellEnd"/>
      <w:r w:rsidRPr="002E33C5">
        <w:rPr>
          <w:rFonts w:ascii="Times New Roman" w:hAnsi="Times New Roman" w:cs="Times New Roman"/>
          <w:sz w:val="24"/>
          <w:szCs w:val="24"/>
        </w:rPr>
        <w:t xml:space="preserve">. Several analogs of sulfanilamide have been synthesized, and described in textbooks. Metal complexes of </w:t>
      </w:r>
      <w:proofErr w:type="spellStart"/>
      <w:r w:rsidRPr="002E33C5">
        <w:rPr>
          <w:rFonts w:ascii="Times New Roman" w:hAnsi="Times New Roman" w:cs="Times New Roman"/>
          <w:sz w:val="24"/>
          <w:szCs w:val="24"/>
        </w:rPr>
        <w:t>sulfanilamides</w:t>
      </w:r>
      <w:proofErr w:type="spellEnd"/>
      <w:r w:rsidRPr="002E33C5">
        <w:rPr>
          <w:rFonts w:ascii="Times New Roman" w:hAnsi="Times New Roman" w:cs="Times New Roman"/>
          <w:sz w:val="24"/>
          <w:szCs w:val="24"/>
        </w:rPr>
        <w:t xml:space="preserve"> are water soluble but have also been linked to higher toxicity and increasingly linked to clinical resistance to </w:t>
      </w:r>
      <w:proofErr w:type="spellStart"/>
      <w:r w:rsidRPr="002E33C5">
        <w:rPr>
          <w:rFonts w:ascii="Times New Roman" w:hAnsi="Times New Roman" w:cs="Times New Roman"/>
          <w:sz w:val="24"/>
          <w:szCs w:val="24"/>
        </w:rPr>
        <w:t>sulfanilamides</w:t>
      </w:r>
      <w:proofErr w:type="spellEnd"/>
      <w:r w:rsidRPr="002E33C5">
        <w:rPr>
          <w:rFonts w:ascii="Times New Roman" w:hAnsi="Times New Roman" w:cs="Times New Roman"/>
          <w:sz w:val="24"/>
          <w:szCs w:val="24"/>
        </w:rPr>
        <w:t xml:space="preserve"> [3].</w:t>
      </w:r>
      <w:r w:rsidRPr="002E33C5">
        <w:rPr>
          <w:rFonts w:ascii="Times New Roman" w:hAnsi="Times New Roman" w:cs="Times New Roman"/>
          <w:sz w:val="24"/>
          <w:szCs w:val="24"/>
          <w:vertAlign w:val="superscript"/>
        </w:rPr>
        <w:t xml:space="preserve"> </w:t>
      </w:r>
      <w:r w:rsidRPr="002E33C5">
        <w:rPr>
          <w:rFonts w:ascii="Times New Roman" w:hAnsi="Times New Roman" w:cs="Times New Roman"/>
          <w:sz w:val="24"/>
          <w:szCs w:val="24"/>
        </w:rPr>
        <w:t>Over the past few decades, dendrimers have emerged as versatile drug delivery and targeting vehicles with increasing market share owing to markedly improved outcomes and efficiency when administered with Doxorubicin (</w:t>
      </w:r>
      <w:proofErr w:type="spellStart"/>
      <w:r w:rsidRPr="002E33C5">
        <w:rPr>
          <w:rFonts w:ascii="Times New Roman" w:hAnsi="Times New Roman" w:cs="Times New Roman"/>
          <w:sz w:val="24"/>
          <w:szCs w:val="24"/>
        </w:rPr>
        <w:t>Doxil</w:t>
      </w:r>
      <w:proofErr w:type="spellEnd"/>
      <w:r w:rsidRPr="002E33C5">
        <w:rPr>
          <w:rFonts w:ascii="Times New Roman" w:hAnsi="Times New Roman" w:cs="Times New Roman"/>
          <w:sz w:val="24"/>
          <w:szCs w:val="24"/>
          <w:vertAlign w:val="superscript"/>
        </w:rPr>
        <w:t>®</w:t>
      </w:r>
      <w:r w:rsidRPr="002E33C5">
        <w:rPr>
          <w:rFonts w:ascii="Times New Roman" w:hAnsi="Times New Roman" w:cs="Times New Roman"/>
          <w:sz w:val="24"/>
          <w:szCs w:val="24"/>
        </w:rPr>
        <w:t>) and paclitaxel (</w:t>
      </w:r>
      <w:proofErr w:type="spellStart"/>
      <w:r w:rsidRPr="002E33C5">
        <w:rPr>
          <w:rFonts w:ascii="Times New Roman" w:hAnsi="Times New Roman" w:cs="Times New Roman"/>
          <w:sz w:val="24"/>
          <w:szCs w:val="24"/>
        </w:rPr>
        <w:t>Abraxane</w:t>
      </w:r>
      <w:proofErr w:type="spellEnd"/>
      <w:r w:rsidRPr="002E33C5">
        <w:rPr>
          <w:rFonts w:ascii="Times New Roman" w:hAnsi="Times New Roman" w:cs="Times New Roman"/>
          <w:sz w:val="24"/>
          <w:szCs w:val="24"/>
          <w:vertAlign w:val="superscript"/>
        </w:rPr>
        <w:t>®</w:t>
      </w:r>
      <w:r w:rsidRPr="002E33C5">
        <w:rPr>
          <w:rFonts w:ascii="Times New Roman" w:hAnsi="Times New Roman" w:cs="Times New Roman"/>
          <w:sz w:val="24"/>
          <w:szCs w:val="24"/>
        </w:rPr>
        <w:t xml:space="preserve">) as first-line treatments in various cancer types. Dendrimers are macromolecules which behave as monodispersed </w:t>
      </w:r>
      <w:proofErr w:type="spellStart"/>
      <w:r w:rsidRPr="002E33C5">
        <w:rPr>
          <w:rFonts w:ascii="Times New Roman" w:hAnsi="Times New Roman" w:cs="Times New Roman"/>
          <w:sz w:val="24"/>
          <w:szCs w:val="24"/>
        </w:rPr>
        <w:t>nano</w:t>
      </w:r>
      <w:proofErr w:type="spellEnd"/>
      <w:r w:rsidRPr="002E33C5">
        <w:rPr>
          <w:rFonts w:ascii="Times New Roman" w:hAnsi="Times New Roman" w:cs="Times New Roman"/>
          <w:sz w:val="24"/>
          <w:szCs w:val="24"/>
        </w:rPr>
        <w:t xml:space="preserve">-reactors with ligand sites on both their surface and inside suitable for conjugation/entrapment with drugs, and are therefore useful in </w:t>
      </w:r>
      <w:proofErr w:type="spellStart"/>
      <w:r w:rsidRPr="002E33C5">
        <w:rPr>
          <w:rFonts w:ascii="Times New Roman" w:hAnsi="Times New Roman" w:cs="Times New Roman"/>
          <w:sz w:val="24"/>
          <w:szCs w:val="24"/>
        </w:rPr>
        <w:t>nano</w:t>
      </w:r>
      <w:proofErr w:type="spellEnd"/>
      <w:r w:rsidRPr="002E33C5">
        <w:rPr>
          <w:rFonts w:ascii="Times New Roman" w:hAnsi="Times New Roman" w:cs="Times New Roman"/>
          <w:sz w:val="24"/>
          <w:szCs w:val="24"/>
        </w:rPr>
        <w:t xml:space="preserve">-medicine. Dendrimers host their guest-molecules with a molecular level of dispersion to the latter that increases the bio-availability of the nanocomposites thus formed. Highly branched, tree-like dendrimers such as </w:t>
      </w:r>
      <w:proofErr w:type="spellStart"/>
      <w:r w:rsidRPr="002E33C5">
        <w:rPr>
          <w:rFonts w:ascii="Times New Roman" w:hAnsi="Times New Roman" w:cs="Times New Roman"/>
          <w:sz w:val="24"/>
          <w:szCs w:val="24"/>
        </w:rPr>
        <w:t>polyamidoamine</w:t>
      </w:r>
      <w:proofErr w:type="spellEnd"/>
      <w:r w:rsidRPr="002E33C5">
        <w:rPr>
          <w:rFonts w:ascii="Times New Roman" w:hAnsi="Times New Roman" w:cs="Times New Roman"/>
          <w:sz w:val="24"/>
          <w:szCs w:val="24"/>
        </w:rPr>
        <w:t xml:space="preserve"> (PAMAM) are structurally well-defined. For instance, PAMAM-paclitaxel conjugates have demonstrated good stability under physiological conditions and greater permeability across Caco-2 cell and porcine brain endothelial cells monolayers than paclitaxel alone, making it a choice </w:t>
      </w:r>
      <w:proofErr w:type="spellStart"/>
      <w:r w:rsidRPr="002E33C5">
        <w:rPr>
          <w:rFonts w:ascii="Times New Roman" w:hAnsi="Times New Roman" w:cs="Times New Roman"/>
          <w:sz w:val="24"/>
          <w:szCs w:val="24"/>
        </w:rPr>
        <w:t>nanocarrier</w:t>
      </w:r>
      <w:proofErr w:type="spellEnd"/>
      <w:r w:rsidRPr="002E33C5">
        <w:rPr>
          <w:rFonts w:ascii="Times New Roman" w:hAnsi="Times New Roman" w:cs="Times New Roman"/>
          <w:sz w:val="24"/>
          <w:szCs w:val="24"/>
        </w:rPr>
        <w:t xml:space="preserve"> for poorly water-soluble drugs. </w:t>
      </w:r>
      <w:r w:rsidRPr="002E33C5">
        <w:rPr>
          <w:rFonts w:ascii="Times New Roman" w:hAnsi="Times New Roman" w:cs="Times New Roman"/>
          <w:b/>
          <w:i/>
          <w:sz w:val="24"/>
          <w:szCs w:val="24"/>
        </w:rPr>
        <w:t xml:space="preserve">We hypothesize that improved pharmacokinetics, </w:t>
      </w:r>
      <w:proofErr w:type="spellStart"/>
      <w:r w:rsidRPr="002E33C5">
        <w:rPr>
          <w:rFonts w:ascii="Times New Roman" w:hAnsi="Times New Roman" w:cs="Times New Roman"/>
          <w:b/>
          <w:i/>
          <w:sz w:val="24"/>
          <w:szCs w:val="24"/>
        </w:rPr>
        <w:t>biodistribution</w:t>
      </w:r>
      <w:proofErr w:type="spellEnd"/>
      <w:r w:rsidRPr="002E33C5">
        <w:rPr>
          <w:rFonts w:ascii="Times New Roman" w:hAnsi="Times New Roman" w:cs="Times New Roman"/>
          <w:b/>
          <w:i/>
          <w:sz w:val="24"/>
          <w:szCs w:val="24"/>
        </w:rPr>
        <w:t xml:space="preserve"> and controlled release of a PAMAM-Sulfa drug can markedly improve the antibacterial properties of </w:t>
      </w:r>
      <w:proofErr w:type="spellStart"/>
      <w:r w:rsidRPr="002E33C5">
        <w:rPr>
          <w:rFonts w:ascii="Times New Roman" w:hAnsi="Times New Roman" w:cs="Times New Roman"/>
          <w:b/>
          <w:i/>
          <w:sz w:val="24"/>
          <w:szCs w:val="24"/>
        </w:rPr>
        <w:t>sulfanilamides</w:t>
      </w:r>
      <w:proofErr w:type="spellEnd"/>
      <w:r w:rsidRPr="002E33C5">
        <w:rPr>
          <w:rFonts w:ascii="Times New Roman" w:hAnsi="Times New Roman" w:cs="Times New Roman"/>
          <w:b/>
          <w:i/>
          <w:sz w:val="24"/>
          <w:szCs w:val="24"/>
        </w:rPr>
        <w:t xml:space="preserve"> and overcome resistance</w:t>
      </w:r>
      <w:r w:rsidRPr="002E33C5">
        <w:rPr>
          <w:rFonts w:ascii="Times New Roman" w:hAnsi="Times New Roman" w:cs="Times New Roman"/>
          <w:i/>
          <w:sz w:val="24"/>
          <w:szCs w:val="24"/>
        </w:rPr>
        <w:t>.</w:t>
      </w:r>
      <w:r w:rsidRPr="002E33C5">
        <w:rPr>
          <w:rFonts w:ascii="Times New Roman" w:hAnsi="Times New Roman" w:cs="Times New Roman"/>
          <w:sz w:val="24"/>
          <w:szCs w:val="24"/>
        </w:rPr>
        <w:t xml:space="preserve"> We propose to test the toxicity of a small library of synthetic PAMAM-</w:t>
      </w:r>
      <w:proofErr w:type="spellStart"/>
      <w:r w:rsidRPr="002E33C5">
        <w:rPr>
          <w:rFonts w:ascii="Times New Roman" w:hAnsi="Times New Roman" w:cs="Times New Roman"/>
          <w:sz w:val="24"/>
          <w:szCs w:val="24"/>
        </w:rPr>
        <w:t>Sulfanilamides</w:t>
      </w:r>
      <w:proofErr w:type="spellEnd"/>
      <w:r w:rsidRPr="002E33C5">
        <w:rPr>
          <w:rFonts w:ascii="Times New Roman" w:hAnsi="Times New Roman" w:cs="Times New Roman"/>
          <w:sz w:val="24"/>
          <w:szCs w:val="24"/>
        </w:rPr>
        <w:t xml:space="preserve"> towards </w:t>
      </w:r>
      <w:proofErr w:type="spellStart"/>
      <w:r w:rsidRPr="002E33C5">
        <w:rPr>
          <w:rFonts w:ascii="Times New Roman" w:hAnsi="Times New Roman" w:cs="Times New Roman"/>
          <w:i/>
          <w:sz w:val="24"/>
          <w:szCs w:val="24"/>
        </w:rPr>
        <w:t>E.Coli</w:t>
      </w:r>
      <w:proofErr w:type="spellEnd"/>
      <w:r w:rsidRPr="002E33C5">
        <w:rPr>
          <w:rFonts w:ascii="Times New Roman" w:hAnsi="Times New Roman" w:cs="Times New Roman"/>
          <w:i/>
          <w:sz w:val="24"/>
          <w:szCs w:val="24"/>
        </w:rPr>
        <w:t xml:space="preserve">, </w:t>
      </w:r>
      <w:proofErr w:type="spellStart"/>
      <w:r w:rsidRPr="002E33C5">
        <w:rPr>
          <w:rFonts w:ascii="Times New Roman" w:hAnsi="Times New Roman" w:cs="Times New Roman"/>
          <w:i/>
          <w:sz w:val="24"/>
          <w:szCs w:val="24"/>
        </w:rPr>
        <w:t>Luteus</w:t>
      </w:r>
      <w:proofErr w:type="spellEnd"/>
      <w:r w:rsidRPr="002E33C5">
        <w:rPr>
          <w:rFonts w:ascii="Times New Roman" w:hAnsi="Times New Roman" w:cs="Times New Roman"/>
          <w:i/>
          <w:sz w:val="24"/>
          <w:szCs w:val="24"/>
        </w:rPr>
        <w:t xml:space="preserve"> </w:t>
      </w:r>
      <w:proofErr w:type="spellStart"/>
      <w:r w:rsidRPr="002E33C5">
        <w:rPr>
          <w:rFonts w:ascii="Times New Roman" w:hAnsi="Times New Roman" w:cs="Times New Roman"/>
          <w:i/>
          <w:sz w:val="24"/>
          <w:szCs w:val="24"/>
        </w:rPr>
        <w:t>Myccocus</w:t>
      </w:r>
      <w:proofErr w:type="spellEnd"/>
      <w:r w:rsidRPr="002E33C5">
        <w:rPr>
          <w:rFonts w:ascii="Times New Roman" w:hAnsi="Times New Roman" w:cs="Times New Roman"/>
          <w:i/>
          <w:sz w:val="24"/>
          <w:szCs w:val="24"/>
        </w:rPr>
        <w:t>,</w:t>
      </w:r>
      <w:r w:rsidRPr="002E33C5">
        <w:rPr>
          <w:rFonts w:ascii="Times New Roman" w:hAnsi="Times New Roman" w:cs="Times New Roman"/>
          <w:sz w:val="24"/>
          <w:szCs w:val="24"/>
        </w:rPr>
        <w:t xml:space="preserve"> and other bacteria. Our preliminary results indicated that the dendrimer PAMAM is nontoxic and unable to interfere with the results of the proposed study [4].</w:t>
      </w:r>
    </w:p>
    <w:p w:rsidR="002E33C5" w:rsidRPr="002E33C5" w:rsidRDefault="002E33C5" w:rsidP="002E33C5">
      <w:pPr>
        <w:autoSpaceDE w:val="0"/>
        <w:autoSpaceDN w:val="0"/>
        <w:spacing w:after="120" w:line="240" w:lineRule="auto"/>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First year</w:t>
      </w:r>
      <w:r w:rsidRPr="002E33C5">
        <w:rPr>
          <w:rFonts w:ascii="Times New Roman" w:eastAsia="Times New Roman" w:hAnsi="Times New Roman" w:cs="Times New Roman"/>
          <w:b/>
          <w:sz w:val="24"/>
          <w:szCs w:val="24"/>
          <w:lang w:val="x-none" w:eastAsia="x-none"/>
        </w:rPr>
        <w:t xml:space="preserve">: Students will synthesize </w:t>
      </w:r>
      <w:proofErr w:type="spellStart"/>
      <w:r w:rsidRPr="002E33C5">
        <w:rPr>
          <w:rFonts w:ascii="Times New Roman" w:eastAsia="Times New Roman" w:hAnsi="Times New Roman" w:cs="Times New Roman"/>
          <w:b/>
          <w:sz w:val="24"/>
          <w:szCs w:val="24"/>
          <w:lang w:val="x-none" w:eastAsia="x-none"/>
        </w:rPr>
        <w:t>multigram</w:t>
      </w:r>
      <w:proofErr w:type="spellEnd"/>
      <w:r w:rsidRPr="002E33C5">
        <w:rPr>
          <w:rFonts w:ascii="Times New Roman" w:eastAsia="Times New Roman" w:hAnsi="Times New Roman" w:cs="Times New Roman"/>
          <w:b/>
          <w:sz w:val="24"/>
          <w:szCs w:val="24"/>
          <w:lang w:val="x-none" w:eastAsia="x-none"/>
        </w:rPr>
        <w:t xml:space="preserve"> amount of novel </w:t>
      </w:r>
      <w:r w:rsidRPr="002E33C5">
        <w:rPr>
          <w:rFonts w:ascii="Times New Roman" w:eastAsia="Times New Roman" w:hAnsi="Times New Roman" w:cs="Times New Roman"/>
          <w:b/>
          <w:i/>
          <w:sz w:val="24"/>
          <w:szCs w:val="24"/>
          <w:lang w:val="x-none" w:eastAsia="x-none"/>
        </w:rPr>
        <w:t>poly(</w:t>
      </w:r>
      <w:proofErr w:type="spellStart"/>
      <w:r w:rsidRPr="002E33C5">
        <w:rPr>
          <w:rFonts w:ascii="Times New Roman" w:eastAsia="Times New Roman" w:hAnsi="Times New Roman" w:cs="Times New Roman"/>
          <w:b/>
          <w:i/>
          <w:sz w:val="24"/>
          <w:szCs w:val="24"/>
          <w:lang w:val="x-none" w:eastAsia="x-none"/>
        </w:rPr>
        <w:t>amido</w:t>
      </w:r>
      <w:proofErr w:type="spellEnd"/>
      <w:r w:rsidRPr="002E33C5">
        <w:rPr>
          <w:rFonts w:ascii="Times New Roman" w:eastAsia="Times New Roman" w:hAnsi="Times New Roman" w:cs="Times New Roman"/>
          <w:b/>
          <w:i/>
          <w:sz w:val="24"/>
          <w:szCs w:val="24"/>
          <w:lang w:val="x-none" w:eastAsia="x-none"/>
        </w:rPr>
        <w:t>)amine-sulfanilamide</w:t>
      </w:r>
      <w:r w:rsidRPr="002E33C5">
        <w:rPr>
          <w:rFonts w:ascii="Times New Roman" w:eastAsia="Times New Roman" w:hAnsi="Times New Roman" w:cs="Times New Roman"/>
          <w:b/>
          <w:sz w:val="24"/>
          <w:szCs w:val="24"/>
          <w:lang w:val="x-none" w:eastAsia="x-none"/>
        </w:rPr>
        <w:t xml:space="preserve"> complexes</w:t>
      </w:r>
      <w:r w:rsidRPr="002E33C5">
        <w:rPr>
          <w:rFonts w:ascii="Times New Roman" w:eastAsia="Times New Roman" w:hAnsi="Times New Roman" w:cs="Times New Roman"/>
          <w:b/>
          <w:i/>
          <w:sz w:val="24"/>
          <w:szCs w:val="24"/>
          <w:lang w:val="x-none" w:eastAsia="x-none"/>
        </w:rPr>
        <w:t xml:space="preserve"> </w:t>
      </w:r>
      <w:r w:rsidRPr="002E33C5">
        <w:rPr>
          <w:rFonts w:ascii="Times New Roman" w:eastAsia="Times New Roman" w:hAnsi="Times New Roman" w:cs="Times New Roman"/>
          <w:b/>
          <w:sz w:val="24"/>
          <w:szCs w:val="24"/>
          <w:lang w:val="x-none" w:eastAsia="x-none"/>
        </w:rPr>
        <w:t>or simply</w:t>
      </w:r>
      <w:r w:rsidRPr="002E33C5">
        <w:rPr>
          <w:rFonts w:ascii="Times New Roman" w:eastAsia="Times New Roman" w:hAnsi="Times New Roman" w:cs="Times New Roman"/>
          <w:b/>
          <w:i/>
          <w:sz w:val="24"/>
          <w:szCs w:val="24"/>
          <w:lang w:val="x-none" w:eastAsia="x-none"/>
        </w:rPr>
        <w:t xml:space="preserve"> </w:t>
      </w:r>
      <w:r w:rsidRPr="002E33C5">
        <w:rPr>
          <w:rFonts w:ascii="Times New Roman" w:eastAsia="Times New Roman" w:hAnsi="Times New Roman" w:cs="Times New Roman"/>
          <w:b/>
          <w:sz w:val="24"/>
          <w:szCs w:val="24"/>
          <w:lang w:val="x-none" w:eastAsia="x-none"/>
        </w:rPr>
        <w:t xml:space="preserve">PAMAM-Sulfa, from commercially available materials. </w:t>
      </w:r>
    </w:p>
    <w:p w:rsidR="002E33C5" w:rsidRPr="002E33C5" w:rsidRDefault="002E33C5" w:rsidP="002E33C5">
      <w:pPr>
        <w:autoSpaceDE w:val="0"/>
        <w:autoSpaceDN w:val="0"/>
        <w:spacing w:after="120" w:line="240" w:lineRule="auto"/>
        <w:jc w:val="both"/>
        <w:rPr>
          <w:rFonts w:ascii="Times New Roman" w:eastAsia="Times New Roman" w:hAnsi="Times New Roman" w:cs="Times New Roman"/>
          <w:b/>
          <w:sz w:val="24"/>
          <w:szCs w:val="24"/>
          <w:lang w:val="x-none" w:eastAsia="x-none"/>
        </w:rPr>
      </w:pPr>
      <w:r w:rsidRPr="002E33C5">
        <w:rPr>
          <w:rFonts w:ascii="Times New Roman" w:eastAsia="Times New Roman" w:hAnsi="Times New Roman" w:cs="Times New Roman"/>
          <w:sz w:val="24"/>
          <w:szCs w:val="24"/>
          <w:lang w:eastAsia="x-none"/>
        </w:rPr>
        <w:t xml:space="preserve">During the first year, </w:t>
      </w:r>
      <w:r w:rsidRPr="002E33C5">
        <w:rPr>
          <w:rFonts w:ascii="Times New Roman" w:eastAsia="Times New Roman" w:hAnsi="Times New Roman" w:cs="Times New Roman"/>
          <w:sz w:val="24"/>
          <w:szCs w:val="24"/>
          <w:lang w:val="x-none" w:eastAsia="x-none"/>
        </w:rPr>
        <w:t xml:space="preserve">students will synthesize </w:t>
      </w:r>
      <w:proofErr w:type="spellStart"/>
      <w:r w:rsidRPr="002E33C5">
        <w:rPr>
          <w:rFonts w:ascii="Times New Roman" w:eastAsia="Times New Roman" w:hAnsi="Times New Roman" w:cs="Times New Roman"/>
          <w:sz w:val="24"/>
          <w:szCs w:val="24"/>
          <w:lang w:val="x-none" w:eastAsia="x-none"/>
        </w:rPr>
        <w:t>multigram</w:t>
      </w:r>
      <w:proofErr w:type="spellEnd"/>
      <w:r w:rsidRPr="002E33C5">
        <w:rPr>
          <w:rFonts w:ascii="Times New Roman" w:eastAsia="Times New Roman" w:hAnsi="Times New Roman" w:cs="Times New Roman"/>
          <w:sz w:val="24"/>
          <w:szCs w:val="24"/>
          <w:lang w:val="x-none" w:eastAsia="x-none"/>
        </w:rPr>
        <w:t xml:space="preserve"> quantities of a small library of novel </w:t>
      </w:r>
      <w:proofErr w:type="gramStart"/>
      <w:r w:rsidRPr="002E33C5">
        <w:rPr>
          <w:rFonts w:ascii="Times New Roman" w:eastAsia="Times New Roman" w:hAnsi="Times New Roman" w:cs="Times New Roman"/>
          <w:i/>
          <w:sz w:val="24"/>
          <w:szCs w:val="24"/>
          <w:lang w:val="x-none" w:eastAsia="x-none"/>
        </w:rPr>
        <w:t>poly(</w:t>
      </w:r>
      <w:proofErr w:type="spellStart"/>
      <w:proofErr w:type="gramEnd"/>
      <w:r w:rsidRPr="002E33C5">
        <w:rPr>
          <w:rFonts w:ascii="Times New Roman" w:eastAsia="Times New Roman" w:hAnsi="Times New Roman" w:cs="Times New Roman"/>
          <w:i/>
          <w:sz w:val="24"/>
          <w:szCs w:val="24"/>
          <w:lang w:val="x-none" w:eastAsia="x-none"/>
        </w:rPr>
        <w:t>amido</w:t>
      </w:r>
      <w:proofErr w:type="spellEnd"/>
      <w:r w:rsidRPr="002E33C5">
        <w:rPr>
          <w:rFonts w:ascii="Times New Roman" w:eastAsia="Times New Roman" w:hAnsi="Times New Roman" w:cs="Times New Roman"/>
          <w:i/>
          <w:sz w:val="24"/>
          <w:szCs w:val="24"/>
          <w:lang w:val="x-none" w:eastAsia="x-none"/>
        </w:rPr>
        <w:t>)amine-sulfanilamide</w:t>
      </w:r>
      <w:r w:rsidRPr="002E33C5">
        <w:rPr>
          <w:rFonts w:ascii="Times New Roman" w:eastAsia="Times New Roman" w:hAnsi="Times New Roman" w:cs="Times New Roman"/>
          <w:sz w:val="24"/>
          <w:szCs w:val="24"/>
          <w:lang w:val="x-none" w:eastAsia="x-none"/>
        </w:rPr>
        <w:t xml:space="preserve"> complexes</w:t>
      </w:r>
      <w:r w:rsidRPr="002E33C5">
        <w:rPr>
          <w:rFonts w:ascii="Times New Roman" w:eastAsia="Times New Roman" w:hAnsi="Times New Roman" w:cs="Times New Roman"/>
          <w:i/>
          <w:sz w:val="24"/>
          <w:szCs w:val="24"/>
          <w:lang w:val="x-none" w:eastAsia="x-none"/>
        </w:rPr>
        <w:t xml:space="preserve"> </w:t>
      </w:r>
      <w:r w:rsidRPr="002E33C5">
        <w:rPr>
          <w:rFonts w:ascii="Times New Roman" w:eastAsia="Times New Roman" w:hAnsi="Times New Roman" w:cs="Times New Roman"/>
          <w:sz w:val="24"/>
          <w:szCs w:val="24"/>
          <w:lang w:val="x-none" w:eastAsia="x-none"/>
        </w:rPr>
        <w:t>or simply</w:t>
      </w:r>
      <w:r w:rsidRPr="002E33C5">
        <w:rPr>
          <w:rFonts w:ascii="Times New Roman" w:eastAsia="Times New Roman" w:hAnsi="Times New Roman" w:cs="Times New Roman"/>
          <w:i/>
          <w:sz w:val="24"/>
          <w:szCs w:val="24"/>
          <w:lang w:val="x-none" w:eastAsia="x-none"/>
        </w:rPr>
        <w:t xml:space="preserve"> </w:t>
      </w:r>
      <w:r w:rsidRPr="002E33C5">
        <w:rPr>
          <w:rFonts w:ascii="Times New Roman" w:eastAsia="Times New Roman" w:hAnsi="Times New Roman" w:cs="Times New Roman"/>
          <w:sz w:val="24"/>
          <w:szCs w:val="24"/>
          <w:lang w:val="x-none" w:eastAsia="x-none"/>
        </w:rPr>
        <w:t xml:space="preserve">PAMAM-Sulfa, </w:t>
      </w:r>
      <w:r w:rsidRPr="002E33C5">
        <w:rPr>
          <w:rFonts w:ascii="Times New Roman" w:eastAsia="Times New Roman" w:hAnsi="Times New Roman" w:cs="Times New Roman"/>
          <w:sz w:val="24"/>
          <w:szCs w:val="24"/>
          <w:lang w:eastAsia="x-none"/>
        </w:rPr>
        <w:t xml:space="preserve">as outlined in the </w:t>
      </w:r>
      <w:r w:rsidRPr="002E33C5">
        <w:rPr>
          <w:rFonts w:ascii="Times New Roman" w:eastAsia="Times New Roman" w:hAnsi="Times New Roman" w:cs="Times New Roman"/>
          <w:i/>
          <w:sz w:val="24"/>
          <w:szCs w:val="24"/>
          <w:lang w:eastAsia="x-none"/>
        </w:rPr>
        <w:t>scheme 1</w:t>
      </w:r>
      <w:r w:rsidRPr="002E33C5">
        <w:rPr>
          <w:rFonts w:ascii="Times New Roman" w:eastAsia="Times New Roman" w:hAnsi="Times New Roman" w:cs="Times New Roman"/>
          <w:sz w:val="24"/>
          <w:szCs w:val="24"/>
          <w:lang w:eastAsia="x-none"/>
        </w:rPr>
        <w:t xml:space="preserve"> below</w:t>
      </w:r>
      <w:r w:rsidRPr="002E33C5">
        <w:rPr>
          <w:rFonts w:ascii="Times New Roman" w:eastAsia="Times New Roman" w:hAnsi="Times New Roman" w:cs="Times New Roman"/>
          <w:sz w:val="24"/>
          <w:szCs w:val="24"/>
          <w:lang w:val="x-none" w:eastAsia="x-none"/>
        </w:rPr>
        <w:t xml:space="preserve">. </w:t>
      </w:r>
      <w:r w:rsidRPr="002E33C5">
        <w:rPr>
          <w:rFonts w:ascii="Times New Roman" w:eastAsia="Times New Roman" w:hAnsi="Times New Roman" w:cs="Times New Roman"/>
          <w:sz w:val="24"/>
          <w:szCs w:val="24"/>
          <w:lang w:eastAsia="x-none"/>
        </w:rPr>
        <w:t>N-</w:t>
      </w:r>
      <w:proofErr w:type="spellStart"/>
      <w:r w:rsidRPr="002E33C5">
        <w:rPr>
          <w:rFonts w:ascii="Times New Roman" w:eastAsia="Times New Roman" w:hAnsi="Times New Roman" w:cs="Times New Roman"/>
          <w:sz w:val="24"/>
          <w:szCs w:val="24"/>
          <w:lang w:eastAsia="x-none"/>
        </w:rPr>
        <w:t>acetylsulfanilyl</w:t>
      </w:r>
      <w:proofErr w:type="spellEnd"/>
      <w:r w:rsidRPr="002E33C5">
        <w:rPr>
          <w:rFonts w:ascii="Times New Roman" w:eastAsia="Times New Roman" w:hAnsi="Times New Roman" w:cs="Times New Roman"/>
          <w:sz w:val="24"/>
          <w:szCs w:val="24"/>
          <w:lang w:eastAsia="x-none"/>
        </w:rPr>
        <w:t xml:space="preserve"> chloride </w:t>
      </w:r>
      <w:r w:rsidRPr="002E33C5">
        <w:rPr>
          <w:rFonts w:ascii="Times New Roman" w:eastAsia="Times New Roman" w:hAnsi="Times New Roman" w:cs="Times New Roman"/>
          <w:b/>
          <w:sz w:val="24"/>
          <w:szCs w:val="24"/>
          <w:lang w:eastAsia="x-none"/>
        </w:rPr>
        <w:t xml:space="preserve">1 </w:t>
      </w:r>
      <w:r w:rsidRPr="002E33C5">
        <w:rPr>
          <w:rFonts w:ascii="Times New Roman" w:eastAsia="Times New Roman" w:hAnsi="Times New Roman" w:cs="Times New Roman"/>
          <w:sz w:val="24"/>
          <w:szCs w:val="24"/>
          <w:lang w:eastAsia="x-none"/>
        </w:rPr>
        <w:t xml:space="preserve">will be refluxed with an amine (R) to yield compound </w:t>
      </w:r>
      <w:r w:rsidRPr="002E33C5">
        <w:rPr>
          <w:rFonts w:ascii="Times New Roman" w:eastAsia="Times New Roman" w:hAnsi="Times New Roman" w:cs="Times New Roman"/>
          <w:b/>
          <w:sz w:val="24"/>
          <w:szCs w:val="24"/>
          <w:lang w:eastAsia="x-none"/>
        </w:rPr>
        <w:t>2</w:t>
      </w:r>
      <w:r w:rsidRPr="002E33C5">
        <w:rPr>
          <w:rFonts w:ascii="Times New Roman" w:eastAsia="Times New Roman" w:hAnsi="Times New Roman" w:cs="Times New Roman"/>
          <w:sz w:val="24"/>
          <w:szCs w:val="24"/>
          <w:lang w:eastAsia="x-none"/>
        </w:rPr>
        <w:t xml:space="preserve"> which, upon treatment with diluted hydrochloride acid will afford sulfanilamide </w:t>
      </w:r>
      <w:r w:rsidRPr="002E33C5">
        <w:rPr>
          <w:rFonts w:ascii="Times New Roman" w:eastAsia="Times New Roman" w:hAnsi="Times New Roman" w:cs="Times New Roman"/>
          <w:b/>
          <w:sz w:val="24"/>
          <w:szCs w:val="24"/>
          <w:lang w:eastAsia="x-none"/>
        </w:rPr>
        <w:t>3</w:t>
      </w:r>
      <w:r w:rsidRPr="002E33C5">
        <w:rPr>
          <w:rFonts w:ascii="Times New Roman" w:eastAsia="Times New Roman" w:hAnsi="Times New Roman" w:cs="Times New Roman"/>
          <w:sz w:val="24"/>
          <w:szCs w:val="24"/>
          <w:lang w:eastAsia="x-none"/>
        </w:rPr>
        <w:t xml:space="preserve">. The latter will be stirred with PAMAM at room temperature to afford the </w:t>
      </w:r>
      <w:proofErr w:type="spellStart"/>
      <w:r w:rsidRPr="002E33C5">
        <w:rPr>
          <w:rFonts w:ascii="Times New Roman" w:eastAsia="Times New Roman" w:hAnsi="Times New Roman" w:cs="Times New Roman"/>
          <w:sz w:val="24"/>
          <w:szCs w:val="24"/>
          <w:lang w:eastAsia="x-none"/>
        </w:rPr>
        <w:t>PAMAM.Sulfa</w:t>
      </w:r>
      <w:proofErr w:type="spellEnd"/>
      <w:r w:rsidRPr="002E33C5">
        <w:rPr>
          <w:rFonts w:ascii="Times New Roman" w:eastAsia="Times New Roman" w:hAnsi="Times New Roman" w:cs="Times New Roman"/>
          <w:sz w:val="24"/>
          <w:szCs w:val="24"/>
          <w:lang w:eastAsia="x-none"/>
        </w:rPr>
        <w:t xml:space="preserve"> drug </w:t>
      </w:r>
      <w:r w:rsidRPr="002E33C5">
        <w:rPr>
          <w:rFonts w:ascii="Times New Roman" w:eastAsia="Times New Roman" w:hAnsi="Times New Roman" w:cs="Times New Roman"/>
          <w:b/>
          <w:sz w:val="24"/>
          <w:szCs w:val="24"/>
          <w:lang w:eastAsia="x-none"/>
        </w:rPr>
        <w:t>4</w:t>
      </w:r>
      <w:r w:rsidRPr="002E33C5">
        <w:rPr>
          <w:rFonts w:ascii="Times New Roman" w:eastAsia="Times New Roman" w:hAnsi="Times New Roman" w:cs="Times New Roman"/>
          <w:sz w:val="24"/>
          <w:szCs w:val="24"/>
          <w:lang w:eastAsia="x-none"/>
        </w:rPr>
        <w:t xml:space="preserve">. In order to build a small library of these dendrimer-sulfanilamide conjugates, </w:t>
      </w:r>
      <w:r w:rsidRPr="002E33C5">
        <w:rPr>
          <w:rFonts w:ascii="Times New Roman" w:eastAsia="Times New Roman" w:hAnsi="Times New Roman" w:cs="Times New Roman"/>
          <w:sz w:val="24"/>
          <w:szCs w:val="24"/>
          <w:lang w:val="x-none" w:eastAsia="x-none"/>
        </w:rPr>
        <w:t xml:space="preserve">amines such as imidazole, </w:t>
      </w:r>
      <w:proofErr w:type="spellStart"/>
      <w:r w:rsidRPr="002E33C5">
        <w:rPr>
          <w:rFonts w:ascii="Times New Roman" w:eastAsia="Times New Roman" w:hAnsi="Times New Roman" w:cs="Times New Roman"/>
          <w:sz w:val="24"/>
          <w:szCs w:val="24"/>
          <w:lang w:val="x-none" w:eastAsia="x-none"/>
        </w:rPr>
        <w:t>benzimidazole</w:t>
      </w:r>
      <w:proofErr w:type="spellEnd"/>
      <w:r w:rsidRPr="002E33C5">
        <w:rPr>
          <w:rFonts w:ascii="Times New Roman" w:eastAsia="Times New Roman" w:hAnsi="Times New Roman" w:cs="Times New Roman"/>
          <w:sz w:val="24"/>
          <w:szCs w:val="24"/>
          <w:lang w:val="x-none" w:eastAsia="x-none"/>
        </w:rPr>
        <w:t>, indole</w:t>
      </w:r>
      <w:r w:rsidRPr="002E33C5">
        <w:rPr>
          <w:rFonts w:ascii="Times New Roman" w:eastAsia="Times New Roman" w:hAnsi="Times New Roman" w:cs="Times New Roman"/>
          <w:sz w:val="24"/>
          <w:szCs w:val="24"/>
          <w:lang w:eastAsia="x-none"/>
        </w:rPr>
        <w:t xml:space="preserve"> and others</w:t>
      </w:r>
      <w:r w:rsidRPr="002E33C5">
        <w:rPr>
          <w:rFonts w:ascii="Times New Roman" w:eastAsia="Times New Roman" w:hAnsi="Times New Roman" w:cs="Times New Roman"/>
          <w:sz w:val="24"/>
          <w:szCs w:val="24"/>
          <w:lang w:val="x-none" w:eastAsia="x-none"/>
        </w:rPr>
        <w:t xml:space="preserve"> known to possess and/or enhance biological properties of therapeutics will be included in the design and synthesis of </w:t>
      </w:r>
      <w:r w:rsidRPr="002E33C5">
        <w:rPr>
          <w:rFonts w:ascii="Times New Roman" w:eastAsia="Times New Roman" w:hAnsi="Times New Roman" w:cs="Times New Roman"/>
          <w:sz w:val="24"/>
          <w:szCs w:val="24"/>
          <w:lang w:eastAsia="x-none"/>
        </w:rPr>
        <w:t>PAMAM-</w:t>
      </w:r>
      <w:proofErr w:type="spellStart"/>
      <w:r w:rsidRPr="002E33C5">
        <w:rPr>
          <w:rFonts w:ascii="Times New Roman" w:eastAsia="Times New Roman" w:hAnsi="Times New Roman" w:cs="Times New Roman"/>
          <w:sz w:val="24"/>
          <w:szCs w:val="24"/>
          <w:lang w:val="x-none" w:eastAsia="x-none"/>
        </w:rPr>
        <w:t>sulfanilamides</w:t>
      </w:r>
      <w:proofErr w:type="spellEnd"/>
      <w:r w:rsidRPr="002E33C5">
        <w:rPr>
          <w:rFonts w:ascii="Times New Roman" w:eastAsia="Times New Roman" w:hAnsi="Times New Roman" w:cs="Times New Roman"/>
          <w:sz w:val="24"/>
          <w:szCs w:val="24"/>
          <w:lang w:val="x-none" w:eastAsia="x-none"/>
        </w:rPr>
        <w:t xml:space="preserve">.  Characterization of each complex using spectroscopic methods such as nuclear magnetic resonance (NMR), infrared (IR), scanning electron microscopy (SEM), and high resolution Mass </w:t>
      </w:r>
      <w:r w:rsidRPr="002E33C5">
        <w:rPr>
          <w:rFonts w:ascii="Times New Roman" w:eastAsia="Times New Roman" w:hAnsi="Times New Roman" w:cs="Times New Roman"/>
          <w:sz w:val="24"/>
          <w:szCs w:val="24"/>
          <w:lang w:val="x-none" w:eastAsia="x-none"/>
        </w:rPr>
        <w:lastRenderedPageBreak/>
        <w:t>Spectrometry will then be done by students</w:t>
      </w:r>
      <w:r w:rsidRPr="002E33C5">
        <w:rPr>
          <w:rFonts w:ascii="Times New Roman" w:eastAsia="Times New Roman" w:hAnsi="Times New Roman" w:cs="Times New Roman"/>
          <w:sz w:val="24"/>
          <w:szCs w:val="24"/>
          <w:lang w:eastAsia="x-none"/>
        </w:rPr>
        <w:t xml:space="preserve"> who will learn the use of modern analytical instruments in our department.</w:t>
      </w:r>
      <w:r w:rsidRPr="002E33C5">
        <w:rPr>
          <w:rFonts w:ascii="Times New Roman" w:eastAsia="Times New Roman" w:hAnsi="Times New Roman" w:cs="Times New Roman"/>
          <w:sz w:val="24"/>
          <w:szCs w:val="24"/>
          <w:lang w:val="x-none" w:eastAsia="x-none"/>
        </w:rPr>
        <w:t xml:space="preserve"> </w:t>
      </w:r>
    </w:p>
    <w:p w:rsidR="002E33C5" w:rsidRPr="002E33C5" w:rsidRDefault="002E33C5" w:rsidP="002E33C5">
      <w:pPr>
        <w:autoSpaceDE w:val="0"/>
        <w:autoSpaceDN w:val="0"/>
        <w:spacing w:after="120" w:line="240" w:lineRule="auto"/>
        <w:jc w:val="both"/>
        <w:rPr>
          <w:rFonts w:ascii="Times New Roman" w:eastAsia="Times New Roman" w:hAnsi="Times New Roman" w:cs="Times New Roman"/>
          <w:i/>
          <w:sz w:val="24"/>
          <w:szCs w:val="24"/>
          <w:lang w:eastAsia="x-none"/>
        </w:rPr>
      </w:pPr>
      <w:r w:rsidRPr="002E33C5">
        <w:rPr>
          <w:rFonts w:ascii="Times New Roman" w:eastAsia="Times New Roman" w:hAnsi="Times New Roman" w:cs="Times New Roman"/>
          <w:i/>
          <w:sz w:val="24"/>
          <w:szCs w:val="24"/>
          <w:lang w:eastAsia="x-none"/>
        </w:rPr>
        <w:t xml:space="preserve">Scheme 1: Synthesis of a library of </w:t>
      </w:r>
      <w:proofErr w:type="spellStart"/>
      <w:r w:rsidRPr="002E33C5">
        <w:rPr>
          <w:rFonts w:ascii="Times New Roman" w:eastAsia="Times New Roman" w:hAnsi="Times New Roman" w:cs="Times New Roman"/>
          <w:i/>
          <w:sz w:val="24"/>
          <w:szCs w:val="24"/>
          <w:lang w:eastAsia="x-none"/>
        </w:rPr>
        <w:t>PAMAM.Sulfa</w:t>
      </w:r>
      <w:proofErr w:type="spellEnd"/>
      <w:r w:rsidRPr="002E33C5">
        <w:rPr>
          <w:rFonts w:ascii="Times New Roman" w:eastAsia="Times New Roman" w:hAnsi="Times New Roman" w:cs="Times New Roman"/>
          <w:i/>
          <w:sz w:val="24"/>
          <w:szCs w:val="24"/>
          <w:lang w:eastAsia="x-none"/>
        </w:rPr>
        <w:t xml:space="preserve"> conjugates.</w:t>
      </w:r>
    </w:p>
    <w:p w:rsidR="002E33C5" w:rsidRPr="002E33C5" w:rsidRDefault="002E33C5" w:rsidP="002E33C5">
      <w:pPr>
        <w:autoSpaceDE w:val="0"/>
        <w:autoSpaceDN w:val="0"/>
        <w:spacing w:after="120" w:line="240" w:lineRule="auto"/>
        <w:jc w:val="both"/>
        <w:rPr>
          <w:rFonts w:ascii="Times New Roman" w:eastAsia="Times New Roman" w:hAnsi="Times New Roman" w:cs="Times New Roman"/>
          <w:b/>
          <w:sz w:val="24"/>
          <w:szCs w:val="24"/>
          <w:lang w:eastAsia="x-none"/>
        </w:rPr>
      </w:pPr>
      <w:r w:rsidRPr="002E33C5">
        <w:rPr>
          <w:rFonts w:ascii="Times" w:eastAsia="Times New Roman" w:hAnsi="Times" w:cs="Times New Roman"/>
          <w:sz w:val="24"/>
          <w:szCs w:val="24"/>
          <w:lang w:val="x-none" w:eastAsia="x-none"/>
        </w:rPr>
        <w:object w:dxaOrig="10839" w:dyaOrig="1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25pt" o:ole="">
            <v:imagedata r:id="rId5" o:title=""/>
          </v:shape>
          <o:OLEObject Type="Embed" ProgID="ChemDraw.Document.6.0" ShapeID="_x0000_i1025" DrawAspect="Content" ObjectID="_1559036259" r:id="rId6"/>
        </w:object>
      </w:r>
    </w:p>
    <w:p w:rsidR="002E33C5" w:rsidRPr="002E33C5" w:rsidRDefault="002E33C5" w:rsidP="002E33C5">
      <w:pPr>
        <w:autoSpaceDE w:val="0"/>
        <w:autoSpaceDN w:val="0"/>
        <w:spacing w:before="240" w:after="120" w:line="240" w:lineRule="auto"/>
        <w:jc w:val="both"/>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val="x-none" w:eastAsia="x-none"/>
        </w:rPr>
        <w:t>Second year</w:t>
      </w:r>
      <w:r w:rsidRPr="002E33C5">
        <w:rPr>
          <w:rFonts w:ascii="Times New Roman" w:eastAsia="Times New Roman" w:hAnsi="Times New Roman" w:cs="Times New Roman"/>
          <w:b/>
          <w:sz w:val="24"/>
          <w:szCs w:val="24"/>
          <w:lang w:val="x-none" w:eastAsia="x-none"/>
        </w:rPr>
        <w:t>: biological testing using the Kirby-Bauer test for gram positive and/or gram negative bacteria.</w:t>
      </w:r>
      <w:r w:rsidRPr="002E33C5">
        <w:rPr>
          <w:rFonts w:ascii="Times New Roman" w:eastAsia="Times New Roman" w:hAnsi="Times New Roman" w:cs="Times New Roman"/>
          <w:b/>
          <w:sz w:val="24"/>
          <w:szCs w:val="24"/>
          <w:lang w:eastAsia="x-none"/>
        </w:rPr>
        <w:t xml:space="preserve"> </w:t>
      </w:r>
    </w:p>
    <w:p w:rsidR="002E33C5" w:rsidRPr="002E33C5" w:rsidRDefault="002E33C5" w:rsidP="002E33C5">
      <w:pPr>
        <w:autoSpaceDE w:val="0"/>
        <w:autoSpaceDN w:val="0"/>
        <w:spacing w:before="240" w:after="120" w:line="240" w:lineRule="auto"/>
        <w:jc w:val="both"/>
        <w:rPr>
          <w:rFonts w:ascii="Times New Roman" w:eastAsia="Times New Roman" w:hAnsi="Times New Roman" w:cs="Times New Roman"/>
          <w:b/>
          <w:sz w:val="24"/>
          <w:szCs w:val="24"/>
          <w:lang w:val="x-none" w:eastAsia="x-none"/>
        </w:rPr>
      </w:pPr>
      <w:r w:rsidRPr="002E33C5">
        <w:rPr>
          <w:rFonts w:ascii="Times New Roman" w:eastAsia="Times New Roman" w:hAnsi="Times New Roman" w:cs="Times New Roman"/>
          <w:sz w:val="24"/>
          <w:szCs w:val="24"/>
          <w:lang w:eastAsia="x-none"/>
        </w:rPr>
        <w:t xml:space="preserve">In the second year, students </w:t>
      </w:r>
      <w:r w:rsidRPr="002E33C5">
        <w:rPr>
          <w:rFonts w:ascii="Times New Roman" w:eastAsia="Times New Roman" w:hAnsi="Times New Roman" w:cs="Times New Roman"/>
          <w:sz w:val="24"/>
          <w:szCs w:val="24"/>
          <w:lang w:val="x-none" w:eastAsia="x-none"/>
        </w:rPr>
        <w:t xml:space="preserve">will proceed with biological testing </w:t>
      </w:r>
      <w:r w:rsidRPr="002E33C5">
        <w:rPr>
          <w:rFonts w:ascii="Times New Roman" w:eastAsia="Times New Roman" w:hAnsi="Times New Roman" w:cs="Times New Roman"/>
          <w:sz w:val="24"/>
          <w:szCs w:val="24"/>
          <w:lang w:eastAsia="x-none"/>
        </w:rPr>
        <w:t xml:space="preserve">of the synthetic </w:t>
      </w:r>
      <w:proofErr w:type="spellStart"/>
      <w:r w:rsidRPr="002E33C5">
        <w:rPr>
          <w:rFonts w:ascii="Times New Roman" w:eastAsia="Times New Roman" w:hAnsi="Times New Roman" w:cs="Times New Roman"/>
          <w:sz w:val="24"/>
          <w:szCs w:val="24"/>
          <w:lang w:eastAsia="x-none"/>
        </w:rPr>
        <w:t>PAMAN.Sulfa</w:t>
      </w:r>
      <w:proofErr w:type="spellEnd"/>
      <w:r w:rsidRPr="002E33C5">
        <w:rPr>
          <w:rFonts w:ascii="Times New Roman" w:eastAsia="Times New Roman" w:hAnsi="Times New Roman" w:cs="Times New Roman"/>
          <w:sz w:val="24"/>
          <w:szCs w:val="24"/>
          <w:lang w:eastAsia="x-none"/>
        </w:rPr>
        <w:t xml:space="preserve"> conjugates </w:t>
      </w:r>
      <w:r w:rsidRPr="002E33C5">
        <w:rPr>
          <w:rFonts w:ascii="Times New Roman" w:eastAsia="Times New Roman" w:hAnsi="Times New Roman" w:cs="Times New Roman"/>
          <w:b/>
          <w:sz w:val="24"/>
          <w:szCs w:val="24"/>
          <w:lang w:eastAsia="x-none"/>
        </w:rPr>
        <w:t>4</w:t>
      </w:r>
      <w:r w:rsidRPr="002E33C5">
        <w:rPr>
          <w:rFonts w:ascii="Times New Roman" w:eastAsia="Times New Roman" w:hAnsi="Times New Roman" w:cs="Times New Roman"/>
          <w:sz w:val="24"/>
          <w:szCs w:val="24"/>
          <w:lang w:eastAsia="x-none"/>
        </w:rPr>
        <w:t xml:space="preserve"> on </w:t>
      </w:r>
      <w:r w:rsidRPr="002E33C5">
        <w:rPr>
          <w:rFonts w:ascii="Times New Roman" w:eastAsia="Times New Roman" w:hAnsi="Times New Roman" w:cs="Times New Roman"/>
          <w:sz w:val="24"/>
          <w:szCs w:val="24"/>
          <w:lang w:val="x-none" w:eastAsia="x-none"/>
        </w:rPr>
        <w:t>gram positive and/or gram negative bacteria using the Kirby-Bauer test. Students will use different concentrations of a solution of the PAMAM-Sulfa complexes to determine their respective zone of inhibition</w:t>
      </w:r>
      <w:r w:rsidRPr="002E33C5">
        <w:rPr>
          <w:rFonts w:ascii="Times New Roman" w:eastAsia="Times New Roman" w:hAnsi="Times New Roman" w:cs="Times New Roman"/>
          <w:sz w:val="24"/>
          <w:szCs w:val="24"/>
          <w:lang w:eastAsia="x-none"/>
        </w:rPr>
        <w:t xml:space="preserve"> in </w:t>
      </w:r>
      <w:proofErr w:type="spellStart"/>
      <w:r w:rsidRPr="002E33C5">
        <w:rPr>
          <w:rFonts w:ascii="Times New Roman" w:eastAsia="Times New Roman" w:hAnsi="Times New Roman" w:cs="Times New Roman"/>
          <w:i/>
          <w:sz w:val="24"/>
          <w:szCs w:val="24"/>
          <w:lang w:eastAsia="x-none"/>
        </w:rPr>
        <w:t>E.Coli</w:t>
      </w:r>
      <w:proofErr w:type="spellEnd"/>
      <w:r w:rsidRPr="002E33C5">
        <w:rPr>
          <w:rFonts w:ascii="Times New Roman" w:eastAsia="Times New Roman" w:hAnsi="Times New Roman" w:cs="Times New Roman"/>
          <w:sz w:val="24"/>
          <w:szCs w:val="24"/>
          <w:lang w:eastAsia="x-none"/>
        </w:rPr>
        <w:t xml:space="preserve">, and </w:t>
      </w:r>
      <w:proofErr w:type="spellStart"/>
      <w:r w:rsidRPr="002E33C5">
        <w:rPr>
          <w:rFonts w:ascii="Times New Roman" w:eastAsia="Times New Roman" w:hAnsi="Times New Roman" w:cs="Times New Roman"/>
          <w:i/>
          <w:sz w:val="24"/>
          <w:szCs w:val="24"/>
          <w:lang w:eastAsia="x-none"/>
        </w:rPr>
        <w:t>Luteus</w:t>
      </w:r>
      <w:proofErr w:type="spellEnd"/>
      <w:r w:rsidRPr="002E33C5">
        <w:rPr>
          <w:rFonts w:ascii="Times New Roman" w:eastAsia="Times New Roman" w:hAnsi="Times New Roman" w:cs="Times New Roman"/>
          <w:i/>
          <w:sz w:val="24"/>
          <w:szCs w:val="24"/>
          <w:lang w:eastAsia="x-none"/>
        </w:rPr>
        <w:t xml:space="preserve"> </w:t>
      </w:r>
      <w:proofErr w:type="spellStart"/>
      <w:r w:rsidRPr="002E33C5">
        <w:rPr>
          <w:rFonts w:ascii="Times New Roman" w:eastAsia="Times New Roman" w:hAnsi="Times New Roman" w:cs="Times New Roman"/>
          <w:i/>
          <w:sz w:val="24"/>
          <w:szCs w:val="24"/>
          <w:lang w:eastAsia="x-none"/>
        </w:rPr>
        <w:t>Myccocus</w:t>
      </w:r>
      <w:proofErr w:type="spellEnd"/>
      <w:r w:rsidRPr="002E33C5">
        <w:rPr>
          <w:rFonts w:ascii="Times New Roman" w:eastAsia="Times New Roman" w:hAnsi="Times New Roman" w:cs="Times New Roman"/>
          <w:sz w:val="24"/>
          <w:szCs w:val="24"/>
          <w:lang w:eastAsia="x-none"/>
        </w:rPr>
        <w:t xml:space="preserve"> primarily</w:t>
      </w:r>
      <w:r w:rsidRPr="002E33C5">
        <w:rPr>
          <w:rFonts w:ascii="Times New Roman" w:eastAsia="Times New Roman" w:hAnsi="Times New Roman" w:cs="Times New Roman"/>
          <w:sz w:val="24"/>
          <w:szCs w:val="24"/>
          <w:lang w:val="x-none" w:eastAsia="x-none"/>
        </w:rPr>
        <w:t xml:space="preserve">. Promising candidates will be selected for further evaluation in subsequent studies on </w:t>
      </w:r>
      <w:r w:rsidRPr="002E33C5">
        <w:rPr>
          <w:rFonts w:ascii="Times New Roman" w:eastAsia="Times New Roman" w:hAnsi="Times New Roman" w:cs="Times New Roman"/>
          <w:i/>
          <w:sz w:val="24"/>
          <w:szCs w:val="24"/>
          <w:lang w:val="x-none" w:eastAsia="x-none"/>
        </w:rPr>
        <w:t>staphylococcus</w:t>
      </w:r>
      <w:r w:rsidRPr="002E33C5">
        <w:rPr>
          <w:rFonts w:ascii="Times New Roman" w:eastAsia="Times New Roman" w:hAnsi="Times New Roman" w:cs="Times New Roman"/>
          <w:sz w:val="24"/>
          <w:szCs w:val="24"/>
          <w:lang w:val="x-none" w:eastAsia="x-none"/>
        </w:rPr>
        <w:t xml:space="preserve"> and other bacteria.</w:t>
      </w:r>
      <w:r w:rsidRPr="002E33C5">
        <w:rPr>
          <w:rFonts w:ascii="Times New Roman" w:eastAsia="Times New Roman" w:hAnsi="Times New Roman" w:cs="Times New Roman"/>
          <w:sz w:val="24"/>
          <w:szCs w:val="24"/>
          <w:lang w:eastAsia="x-none"/>
        </w:rPr>
        <w:t xml:space="preserve"> The agar diffusion method will be used to analyze bacterial sensitivity to these potential antibiotics. A sterile disc of filter paper (called a </w:t>
      </w:r>
      <w:proofErr w:type="spellStart"/>
      <w:r w:rsidRPr="002E33C5">
        <w:rPr>
          <w:rFonts w:ascii="Times New Roman" w:eastAsia="Times New Roman" w:hAnsi="Times New Roman" w:cs="Times New Roman"/>
          <w:sz w:val="24"/>
          <w:szCs w:val="24"/>
          <w:lang w:eastAsia="x-none"/>
        </w:rPr>
        <w:t>waffer</w:t>
      </w:r>
      <w:proofErr w:type="spellEnd"/>
      <w:r w:rsidRPr="002E33C5">
        <w:rPr>
          <w:rFonts w:ascii="Times New Roman" w:eastAsia="Times New Roman" w:hAnsi="Times New Roman" w:cs="Times New Roman"/>
          <w:sz w:val="24"/>
          <w:szCs w:val="24"/>
          <w:lang w:eastAsia="x-none"/>
        </w:rPr>
        <w:t xml:space="preserve">) will be impregnated with various concentration of the PAMAM-Sulfa conjugate and placed on a plate of nutrient medium seeded with </w:t>
      </w:r>
      <w:proofErr w:type="spellStart"/>
      <w:r w:rsidRPr="002E33C5">
        <w:rPr>
          <w:rFonts w:ascii="Times New Roman" w:eastAsia="Times New Roman" w:hAnsi="Times New Roman" w:cs="Times New Roman"/>
          <w:i/>
          <w:sz w:val="24"/>
          <w:szCs w:val="24"/>
          <w:lang w:eastAsia="x-none"/>
        </w:rPr>
        <w:t>E.Coli</w:t>
      </w:r>
      <w:proofErr w:type="spellEnd"/>
      <w:r w:rsidRPr="002E33C5">
        <w:rPr>
          <w:rFonts w:ascii="Times New Roman" w:eastAsia="Times New Roman" w:hAnsi="Times New Roman" w:cs="Times New Roman"/>
          <w:sz w:val="24"/>
          <w:szCs w:val="24"/>
          <w:lang w:eastAsia="x-none"/>
        </w:rPr>
        <w:t xml:space="preserve"> or another bacterium. Students will then incubate the plate at physiological temperature. After 24 hours, students will observe the plates for clear zones of inhibition (zones of no growth) surrounding the disc. The size of the zone of inhibition will then be used to infer the effectiveness of the PAMAM-Sulfa conjugate against those organisms as well as to compare the effectiveness of these Sulfa drugs quantitatively. (See Appendix for Table 1: Zones of Inhibition (in mm) of PAMAM-Sulfa Conjugates in Different Bacteria)</w:t>
      </w:r>
    </w:p>
    <w:p w:rsidR="002E33C5" w:rsidRPr="002E33C5" w:rsidRDefault="002E33C5" w:rsidP="002E33C5">
      <w:pPr>
        <w:spacing w:after="0" w:line="240" w:lineRule="auto"/>
        <w:contextualSpacing/>
        <w:jc w:val="both"/>
        <w:rPr>
          <w:rFonts w:ascii="Times New Roman" w:hAnsi="Times New Roman" w:cs="Times New Roman"/>
          <w:sz w:val="24"/>
          <w:szCs w:val="24"/>
        </w:rPr>
      </w:pPr>
      <w:r>
        <w:rPr>
          <w:rFonts w:ascii="Times New Roman" w:hAnsi="Times New Roman"/>
          <w:b/>
        </w:rPr>
        <w:t>Third year</w:t>
      </w:r>
      <w:r w:rsidRPr="002E33C5">
        <w:rPr>
          <w:rFonts w:ascii="Times New Roman" w:hAnsi="Times New Roman"/>
          <w:b/>
        </w:rPr>
        <w:t>: Result Optimization:</w:t>
      </w:r>
      <w:r w:rsidRPr="002E33C5">
        <w:rPr>
          <w:rFonts w:ascii="Times New Roman" w:hAnsi="Times New Roman" w:cs="Times New Roman"/>
          <w:sz w:val="24"/>
          <w:szCs w:val="24"/>
        </w:rPr>
        <w:t xml:space="preserve"> </w:t>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t xml:space="preserve">Our preliminary results [4] have clearly demonstrated that PAMAM-Sulfanilamide SP [c] works better than sulfanilamide SP [a] alone in inhibiting the spread of </w:t>
      </w:r>
      <w:proofErr w:type="spellStart"/>
      <w:r w:rsidRPr="002E33C5">
        <w:rPr>
          <w:rFonts w:ascii="Times New Roman" w:hAnsi="Times New Roman" w:cs="Times New Roman"/>
          <w:i/>
          <w:sz w:val="24"/>
          <w:szCs w:val="24"/>
        </w:rPr>
        <w:t>M.Luteus</w:t>
      </w:r>
      <w:proofErr w:type="spellEnd"/>
      <w:r w:rsidRPr="002E33C5">
        <w:rPr>
          <w:rFonts w:ascii="Times New Roman" w:hAnsi="Times New Roman" w:cs="Times New Roman"/>
          <w:sz w:val="24"/>
          <w:szCs w:val="24"/>
        </w:rPr>
        <w:t xml:space="preserve"> (orange marker) and/or </w:t>
      </w:r>
      <w:proofErr w:type="spellStart"/>
      <w:r w:rsidRPr="002E33C5">
        <w:rPr>
          <w:rFonts w:ascii="Times New Roman" w:hAnsi="Times New Roman" w:cs="Times New Roman"/>
          <w:i/>
          <w:sz w:val="24"/>
          <w:szCs w:val="24"/>
        </w:rPr>
        <w:t>E.Coli</w:t>
      </w:r>
      <w:proofErr w:type="spellEnd"/>
      <w:r w:rsidRPr="002E33C5">
        <w:rPr>
          <w:rFonts w:ascii="Times New Roman" w:hAnsi="Times New Roman" w:cs="Times New Roman"/>
          <w:i/>
          <w:sz w:val="24"/>
          <w:szCs w:val="24"/>
        </w:rPr>
        <w:t xml:space="preserve"> </w:t>
      </w:r>
      <w:r w:rsidRPr="002E33C5">
        <w:rPr>
          <w:rFonts w:ascii="Times New Roman" w:hAnsi="Times New Roman" w:cs="Times New Roman"/>
          <w:sz w:val="24"/>
          <w:szCs w:val="24"/>
        </w:rPr>
        <w:t>(green marker) as shown in the image below.</w:t>
      </w:r>
    </w:p>
    <w:p w:rsidR="002E33C5" w:rsidRPr="002E33C5" w:rsidRDefault="002E33C5" w:rsidP="002E33C5">
      <w:pPr>
        <w:spacing w:after="0" w:line="240" w:lineRule="auto"/>
        <w:contextualSpacing/>
        <w:jc w:val="both"/>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pPr>
      <w:r w:rsidRPr="002E33C5">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Pr="002E33C5">
        <w:rPr>
          <w:rFonts w:ascii="Times New Roman" w:hAnsi="Times New Roman" w:cs="Times New Roman"/>
          <w:noProof/>
          <w:sz w:val="24"/>
          <w:szCs w:val="24"/>
        </w:rPr>
        <w:drawing>
          <wp:inline distT="0" distB="0" distL="0" distR="0" wp14:anchorId="36EF5AB4" wp14:editId="17776D7B">
            <wp:extent cx="1229995" cy="1641275"/>
            <wp:effectExtent l="0" t="0" r="8255" b="0"/>
            <wp:docPr id="1" name="Picture 1" descr="C:\Users\gmandoum\Pictures\Inhibition Z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 descr="C:\Users\gmandoum\Pictures\Inhibition Zo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1" cy="1776842"/>
                    </a:xfrm>
                    <a:prstGeom prst="rect">
                      <a:avLst/>
                    </a:prstGeom>
                    <a:noFill/>
                    <a:ln>
                      <a:noFill/>
                    </a:ln>
                  </pic:spPr>
                </pic:pic>
              </a:graphicData>
            </a:graphic>
          </wp:inline>
        </w:drawing>
      </w:r>
      <w:r w:rsidRPr="002E33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E33C5">
        <w:rPr>
          <w:rFonts w:ascii="Times New Roman" w:hAnsi="Times New Roman" w:cs="Times New Roman"/>
          <w:noProof/>
          <w:sz w:val="24"/>
          <w:szCs w:val="24"/>
        </w:rPr>
        <w:drawing>
          <wp:inline distT="0" distB="0" distL="0" distR="0" wp14:anchorId="5BAFC31A" wp14:editId="00DC97DD">
            <wp:extent cx="1212215" cy="1617551"/>
            <wp:effectExtent l="0" t="0" r="6985" b="1905"/>
            <wp:docPr id="2" name="Picture 2" descr="C:\Users\gmandoum\Pictures\PAMAM-Sulfa SP (c) on E.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 descr="C:\Users\gmandoum\Pictures\PAMAM-Sulfa SP (c) on E.Col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310" cy="1720424"/>
                    </a:xfrm>
                    <a:prstGeom prst="rect">
                      <a:avLst/>
                    </a:prstGeom>
                    <a:noFill/>
                    <a:ln>
                      <a:noFill/>
                    </a:ln>
                  </pic:spPr>
                </pic:pic>
              </a:graphicData>
            </a:graphic>
          </wp:inline>
        </w:drawing>
      </w:r>
      <w:r w:rsidRPr="002E33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E33C5">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29BA9D7A" wp14:editId="773820E4">
            <wp:extent cx="1210945" cy="1615854"/>
            <wp:effectExtent l="0" t="0" r="8255" b="3810"/>
            <wp:docPr id="3" name="Picture 3" descr="C:\Users\gmandoum\Pictures\PAMAM-Sulfa SP (c) on M.Lut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 descr="C:\Users\gmandoum\Pictures\PAMAM-Sulfa SP (c) on M.Lute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708" cy="1740969"/>
                    </a:xfrm>
                    <a:prstGeom prst="rect">
                      <a:avLst/>
                    </a:prstGeom>
                    <a:noFill/>
                    <a:ln>
                      <a:noFill/>
                    </a:ln>
                  </pic:spPr>
                </pic:pic>
              </a:graphicData>
            </a:graphic>
          </wp:inline>
        </w:drawing>
      </w:r>
      <w:r w:rsidRPr="002E33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E33C5">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t>the</w:t>
      </w:r>
      <w:r w:rsidRPr="002E33C5">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3F52D2C9" wp14:editId="676D464E">
            <wp:extent cx="1216660" cy="1622214"/>
            <wp:effectExtent l="0" t="0" r="2540" b="0"/>
            <wp:docPr id="5" name="Picture 5" descr="C:\Users\gmandoum\Pictures\Sulfanilamide SP (a) on E.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 descr="C:\Users\gmandoum\Pictures\Sulfanilamide SP (a) on E.Col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620" cy="1634161"/>
                    </a:xfrm>
                    <a:prstGeom prst="rect">
                      <a:avLst/>
                    </a:prstGeom>
                    <a:noFill/>
                    <a:ln>
                      <a:noFill/>
                    </a:ln>
                  </pic:spPr>
                </pic:pic>
              </a:graphicData>
            </a:graphic>
          </wp:inline>
        </w:drawing>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t xml:space="preserve">The current study aims at generalizing and improving those findings amongst analogous conjugates. After analyzing the results of the biological testing (Project 2), promising candidates amongst the PAMAM-Sulfa conjugates will be selected for further evaluation. Compounds displaying large zones if inhibition against some of the bacteria will be, further, evaluated by students in subsequent </w:t>
      </w:r>
      <w:r w:rsidRPr="002E33C5">
        <w:rPr>
          <w:rFonts w:ascii="Times New Roman" w:hAnsi="Times New Roman" w:cs="Times New Roman"/>
          <w:i/>
          <w:sz w:val="24"/>
          <w:szCs w:val="24"/>
        </w:rPr>
        <w:t>in vitro</w:t>
      </w:r>
      <w:r w:rsidRPr="002E33C5">
        <w:rPr>
          <w:rFonts w:ascii="Times New Roman" w:hAnsi="Times New Roman" w:cs="Times New Roman"/>
          <w:sz w:val="24"/>
          <w:szCs w:val="24"/>
        </w:rPr>
        <w:t xml:space="preserve"> studies. Students will study the particular timing of the onset on </w:t>
      </w:r>
      <w:r w:rsidRPr="002E33C5">
        <w:rPr>
          <w:rFonts w:ascii="Times New Roman" w:hAnsi="Times New Roman" w:cs="Times New Roman"/>
          <w:sz w:val="24"/>
          <w:szCs w:val="24"/>
        </w:rPr>
        <w:lastRenderedPageBreak/>
        <w:t xml:space="preserve">inhibition in bacteria as well as the spread thereof in order to further characterize the potency of the PAMAM-Sulfa conjugates as potential therapeutics. </w:t>
      </w:r>
    </w:p>
    <w:p w:rsidR="002E33C5" w:rsidRPr="002E33C5" w:rsidRDefault="002E33C5" w:rsidP="002E33C5">
      <w:pPr>
        <w:spacing w:after="0" w:line="240" w:lineRule="auto"/>
        <w:contextualSpacing/>
        <w:jc w:val="both"/>
        <w:rPr>
          <w:rFonts w:ascii="Times New Roman" w:hAnsi="Times New Roman" w:cs="Times New Roman"/>
          <w:b/>
          <w:sz w:val="24"/>
          <w:szCs w:val="24"/>
        </w:rPr>
      </w:pPr>
    </w:p>
    <w:p w:rsidR="002E33C5" w:rsidRPr="002E33C5" w:rsidRDefault="002E33C5" w:rsidP="002E33C5">
      <w:pPr>
        <w:spacing w:after="0" w:line="240" w:lineRule="auto"/>
        <w:contextualSpacing/>
        <w:jc w:val="both"/>
        <w:rPr>
          <w:rFonts w:ascii="Times New Roman" w:hAnsi="Times New Roman" w:cs="Times New Roman"/>
          <w:b/>
          <w:sz w:val="24"/>
          <w:szCs w:val="24"/>
        </w:rPr>
      </w:pPr>
      <w:r w:rsidRPr="002E33C5">
        <w:rPr>
          <w:rFonts w:ascii="Times New Roman" w:hAnsi="Times New Roman" w:cs="Times New Roman"/>
          <w:b/>
          <w:sz w:val="24"/>
          <w:szCs w:val="24"/>
        </w:rPr>
        <w:t>References:</w:t>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t xml:space="preserve">[1] The US Centers for Disease Control and Prevention (CDC) </w:t>
      </w:r>
      <w:r w:rsidRPr="002E33C5">
        <w:rPr>
          <w:rFonts w:ascii="Times New Roman" w:hAnsi="Times New Roman" w:cs="Times New Roman"/>
          <w:b/>
          <w:sz w:val="24"/>
          <w:szCs w:val="24"/>
        </w:rPr>
        <w:t xml:space="preserve">Annual Report 2013 </w:t>
      </w:r>
      <w:r w:rsidRPr="002E33C5">
        <w:rPr>
          <w:rFonts w:ascii="Times New Roman" w:hAnsi="Times New Roman" w:cs="Times New Roman"/>
          <w:sz w:val="24"/>
          <w:szCs w:val="24"/>
        </w:rPr>
        <w:t xml:space="preserve">updated  </w:t>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t xml:space="preserve">      April 14, 2017; www.cdc.gov/narms.</w:t>
      </w:r>
    </w:p>
    <w:p w:rsidR="002E33C5" w:rsidRPr="002E33C5" w:rsidRDefault="002E33C5" w:rsidP="002E33C5">
      <w:pPr>
        <w:spacing w:after="0" w:line="240" w:lineRule="auto"/>
        <w:contextualSpacing/>
        <w:jc w:val="both"/>
        <w:rPr>
          <w:rFonts w:ascii="Times New Roman" w:hAnsi="Times New Roman" w:cs="Times New Roman"/>
          <w:b/>
          <w:sz w:val="24"/>
          <w:szCs w:val="24"/>
        </w:rPr>
      </w:pPr>
      <w:r w:rsidRPr="002E33C5">
        <w:rPr>
          <w:rFonts w:ascii="Times New Roman" w:hAnsi="Times New Roman" w:cs="Times New Roman"/>
          <w:sz w:val="24"/>
          <w:szCs w:val="24"/>
        </w:rPr>
        <w:t xml:space="preserve">[2] Paul </w:t>
      </w:r>
      <w:proofErr w:type="spellStart"/>
      <w:r w:rsidRPr="002E33C5">
        <w:rPr>
          <w:rFonts w:ascii="Times New Roman" w:hAnsi="Times New Roman" w:cs="Times New Roman"/>
          <w:sz w:val="24"/>
          <w:szCs w:val="24"/>
        </w:rPr>
        <w:t>Gelmo</w:t>
      </w:r>
      <w:proofErr w:type="spellEnd"/>
      <w:r w:rsidRPr="002E33C5">
        <w:rPr>
          <w:rFonts w:ascii="Times New Roman" w:hAnsi="Times New Roman" w:cs="Times New Roman"/>
          <w:sz w:val="24"/>
          <w:szCs w:val="24"/>
        </w:rPr>
        <w:t xml:space="preserve"> (May 14, 1908) "</w:t>
      </w:r>
      <w:proofErr w:type="spellStart"/>
      <w:r w:rsidRPr="002E33C5">
        <w:rPr>
          <w:rFonts w:ascii="Times New Roman" w:hAnsi="Times New Roman" w:cs="Times New Roman"/>
          <w:sz w:val="24"/>
          <w:szCs w:val="24"/>
        </w:rPr>
        <w:t>Über</w:t>
      </w:r>
      <w:proofErr w:type="spellEnd"/>
      <w:r w:rsidRPr="002E33C5">
        <w:rPr>
          <w:rFonts w:ascii="Times New Roman" w:hAnsi="Times New Roman" w:cs="Times New Roman"/>
          <w:sz w:val="24"/>
          <w:szCs w:val="24"/>
        </w:rPr>
        <w:t xml:space="preserve"> </w:t>
      </w:r>
      <w:proofErr w:type="spellStart"/>
      <w:r w:rsidRPr="002E33C5">
        <w:rPr>
          <w:rFonts w:ascii="Times New Roman" w:hAnsi="Times New Roman" w:cs="Times New Roman"/>
          <w:sz w:val="24"/>
          <w:szCs w:val="24"/>
        </w:rPr>
        <w:t>Sulfamide</w:t>
      </w:r>
      <w:proofErr w:type="spellEnd"/>
      <w:r w:rsidRPr="002E33C5">
        <w:rPr>
          <w:rFonts w:ascii="Times New Roman" w:hAnsi="Times New Roman" w:cs="Times New Roman"/>
          <w:sz w:val="24"/>
          <w:szCs w:val="24"/>
        </w:rPr>
        <w:t xml:space="preserve"> der p-</w:t>
      </w:r>
      <w:proofErr w:type="spellStart"/>
      <w:r w:rsidRPr="002E33C5">
        <w:rPr>
          <w:rFonts w:ascii="Times New Roman" w:hAnsi="Times New Roman" w:cs="Times New Roman"/>
          <w:sz w:val="24"/>
          <w:szCs w:val="24"/>
        </w:rPr>
        <w:t>Amidobenzolsulfonsäure</w:t>
      </w:r>
      <w:proofErr w:type="spellEnd"/>
      <w:r w:rsidRPr="002E33C5">
        <w:rPr>
          <w:rFonts w:ascii="Times New Roman" w:hAnsi="Times New Roman" w:cs="Times New Roman"/>
          <w:sz w:val="24"/>
          <w:szCs w:val="24"/>
        </w:rPr>
        <w:t xml:space="preserve">," </w:t>
      </w:r>
      <w:r w:rsidRPr="002E33C5">
        <w:rPr>
          <w:rFonts w:ascii="Times New Roman" w:hAnsi="Times New Roman" w:cs="Times New Roman"/>
          <w:b/>
          <w:sz w:val="24"/>
          <w:szCs w:val="24"/>
        </w:rPr>
        <w:t xml:space="preserve">Journal </w:t>
      </w:r>
      <w:proofErr w:type="spellStart"/>
      <w:r w:rsidRPr="002E33C5">
        <w:rPr>
          <w:rFonts w:ascii="Times New Roman" w:hAnsi="Times New Roman" w:cs="Times New Roman"/>
          <w:b/>
          <w:sz w:val="24"/>
          <w:szCs w:val="24"/>
        </w:rPr>
        <w:t>für</w:t>
      </w:r>
      <w:proofErr w:type="spellEnd"/>
      <w:r w:rsidRPr="002E33C5">
        <w:rPr>
          <w:rFonts w:ascii="Times New Roman" w:hAnsi="Times New Roman" w:cs="Times New Roman"/>
          <w:b/>
          <w:sz w:val="24"/>
          <w:szCs w:val="24"/>
        </w:rPr>
        <w:t xml:space="preserve"> </w:t>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b/>
          <w:sz w:val="24"/>
          <w:szCs w:val="24"/>
        </w:rPr>
        <w:t xml:space="preserve">      </w:t>
      </w:r>
      <w:proofErr w:type="spellStart"/>
      <w:r w:rsidRPr="002E33C5">
        <w:rPr>
          <w:rFonts w:ascii="Times New Roman" w:hAnsi="Times New Roman" w:cs="Times New Roman"/>
          <w:b/>
          <w:sz w:val="24"/>
          <w:szCs w:val="24"/>
        </w:rPr>
        <w:t>Praktische</w:t>
      </w:r>
      <w:proofErr w:type="spellEnd"/>
      <w:r w:rsidRPr="002E33C5">
        <w:rPr>
          <w:rFonts w:ascii="Times New Roman" w:hAnsi="Times New Roman" w:cs="Times New Roman"/>
          <w:b/>
          <w:sz w:val="24"/>
          <w:szCs w:val="24"/>
        </w:rPr>
        <w:t xml:space="preserve"> </w:t>
      </w:r>
      <w:proofErr w:type="spellStart"/>
      <w:r w:rsidRPr="002E33C5">
        <w:rPr>
          <w:rFonts w:ascii="Times New Roman" w:hAnsi="Times New Roman" w:cs="Times New Roman"/>
          <w:b/>
          <w:sz w:val="24"/>
          <w:szCs w:val="24"/>
        </w:rPr>
        <w:t>Chemie</w:t>
      </w:r>
      <w:proofErr w:type="spellEnd"/>
      <w:r w:rsidRPr="002E33C5">
        <w:rPr>
          <w:rFonts w:ascii="Times New Roman" w:hAnsi="Times New Roman" w:cs="Times New Roman"/>
          <w:sz w:val="24"/>
          <w:szCs w:val="24"/>
        </w:rPr>
        <w:t xml:space="preserve">, </w:t>
      </w:r>
      <w:proofErr w:type="gramStart"/>
      <w:r w:rsidRPr="002E33C5">
        <w:rPr>
          <w:rFonts w:ascii="Times New Roman" w:hAnsi="Times New Roman" w:cs="Times New Roman"/>
          <w:sz w:val="24"/>
          <w:szCs w:val="24"/>
        </w:rPr>
        <w:t>77 :</w:t>
      </w:r>
      <w:proofErr w:type="gramEnd"/>
      <w:r w:rsidRPr="002E33C5">
        <w:rPr>
          <w:rFonts w:ascii="Times New Roman" w:hAnsi="Times New Roman" w:cs="Times New Roman"/>
          <w:sz w:val="24"/>
          <w:szCs w:val="24"/>
        </w:rPr>
        <w:t xml:space="preserve"> 369-382.</w:t>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t xml:space="preserve">[3] </w:t>
      </w:r>
      <w:proofErr w:type="spellStart"/>
      <w:r w:rsidRPr="002E33C5">
        <w:rPr>
          <w:rFonts w:ascii="Times New Roman" w:hAnsi="Times New Roman" w:cs="Times New Roman"/>
          <w:sz w:val="24"/>
          <w:szCs w:val="24"/>
        </w:rPr>
        <w:t>Skӧld</w:t>
      </w:r>
      <w:proofErr w:type="spellEnd"/>
      <w:r w:rsidRPr="002E33C5">
        <w:rPr>
          <w:rFonts w:ascii="Times New Roman" w:hAnsi="Times New Roman" w:cs="Times New Roman"/>
          <w:sz w:val="24"/>
          <w:szCs w:val="24"/>
        </w:rPr>
        <w:t xml:space="preserve">, O. </w:t>
      </w:r>
      <w:r w:rsidRPr="002E33C5">
        <w:rPr>
          <w:rFonts w:ascii="Times New Roman" w:hAnsi="Times New Roman" w:cs="Times New Roman"/>
          <w:b/>
          <w:sz w:val="24"/>
          <w:szCs w:val="24"/>
        </w:rPr>
        <w:t xml:space="preserve">Drug Resist </w:t>
      </w:r>
      <w:proofErr w:type="spellStart"/>
      <w:r w:rsidRPr="002E33C5">
        <w:rPr>
          <w:rFonts w:ascii="Times New Roman" w:hAnsi="Times New Roman" w:cs="Times New Roman"/>
          <w:b/>
          <w:sz w:val="24"/>
          <w:szCs w:val="24"/>
        </w:rPr>
        <w:t>Updat</w:t>
      </w:r>
      <w:proofErr w:type="spellEnd"/>
      <w:r w:rsidRPr="002E33C5">
        <w:rPr>
          <w:rFonts w:ascii="Times New Roman" w:hAnsi="Times New Roman" w:cs="Times New Roman"/>
          <w:sz w:val="24"/>
          <w:szCs w:val="24"/>
        </w:rPr>
        <w:t>. 2000 Jun</w:t>
      </w:r>
      <w:proofErr w:type="gramStart"/>
      <w:r w:rsidRPr="002E33C5">
        <w:rPr>
          <w:rFonts w:ascii="Times New Roman" w:hAnsi="Times New Roman" w:cs="Times New Roman"/>
          <w:sz w:val="24"/>
          <w:szCs w:val="24"/>
        </w:rPr>
        <w:t>;3</w:t>
      </w:r>
      <w:proofErr w:type="gramEnd"/>
      <w:r w:rsidRPr="002E33C5">
        <w:rPr>
          <w:rFonts w:ascii="Times New Roman" w:hAnsi="Times New Roman" w:cs="Times New Roman"/>
          <w:sz w:val="24"/>
          <w:szCs w:val="24"/>
        </w:rPr>
        <w:t>(3):155-160.</w:t>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t xml:space="preserve">[4] Whitfield Z, Mandouma, G. 2017 Georgia Academy of Science Annual Meeting, Young Harris </w:t>
      </w:r>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t xml:space="preserve">      GA, March 24-25, 2017.</w:t>
      </w:r>
    </w:p>
    <w:p w:rsidR="002E33C5" w:rsidRPr="002E33C5" w:rsidRDefault="002E33C5" w:rsidP="002E33C5">
      <w:pPr>
        <w:rPr>
          <w:b/>
        </w:rPr>
      </w:pPr>
      <w:r w:rsidRPr="002E33C5">
        <w:rPr>
          <w:b/>
        </w:rPr>
        <w:t>Appendix</w:t>
      </w:r>
    </w:p>
    <w:p w:rsidR="002E33C5" w:rsidRPr="002E33C5" w:rsidRDefault="002E33C5" w:rsidP="002E33C5">
      <w:pPr>
        <w:autoSpaceDE w:val="0"/>
        <w:autoSpaceDN w:val="0"/>
        <w:spacing w:after="120" w:line="240" w:lineRule="auto"/>
        <w:jc w:val="both"/>
        <w:rPr>
          <w:rFonts w:ascii="Times New Roman" w:eastAsia="Times New Roman" w:hAnsi="Times New Roman" w:cs="Times New Roman"/>
          <w:sz w:val="24"/>
          <w:szCs w:val="24"/>
          <w:lang w:eastAsia="x-none"/>
        </w:rPr>
      </w:pPr>
      <w:r w:rsidRPr="002E33C5">
        <w:rPr>
          <w:rFonts w:ascii="Times New Roman" w:eastAsia="Times New Roman" w:hAnsi="Times New Roman" w:cs="Times New Roman"/>
          <w:sz w:val="24"/>
          <w:szCs w:val="24"/>
          <w:lang w:eastAsia="x-none"/>
        </w:rPr>
        <w:t xml:space="preserve">Table 1. Zones of Inhibition (in mm) of PAMAM-Sulfa Conjugates in Different Bacteria </w:t>
      </w:r>
    </w:p>
    <w:tbl>
      <w:tblPr>
        <w:tblStyle w:val="TableGrid"/>
        <w:tblW w:w="0" w:type="auto"/>
        <w:tblLook w:val="04A0" w:firstRow="1" w:lastRow="0" w:firstColumn="1" w:lastColumn="0" w:noHBand="0" w:noVBand="1"/>
      </w:tblPr>
      <w:tblGrid>
        <w:gridCol w:w="1869"/>
        <w:gridCol w:w="1869"/>
        <w:gridCol w:w="1869"/>
        <w:gridCol w:w="1869"/>
        <w:gridCol w:w="1869"/>
      </w:tblGrid>
      <w:tr w:rsidR="002E33C5" w:rsidRPr="002E33C5" w:rsidTr="00A31A86">
        <w:trPr>
          <w:trHeight w:val="829"/>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eastAsia="x-none"/>
              </w:rPr>
            </w:pPr>
            <w:r w:rsidRPr="002E33C5">
              <w:rPr>
                <w:rFonts w:ascii="Times New Roman" w:eastAsia="Times New Roman" w:hAnsi="Times New Roman" w:cs="Times New Roman"/>
                <w:sz w:val="24"/>
                <w:szCs w:val="24"/>
                <w:lang w:eastAsia="x-none"/>
              </w:rPr>
              <w:t xml:space="preserve">R (in Amines) </w: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eastAsia="x-none"/>
              </w:rPr>
            </w:pPr>
            <w:r w:rsidRPr="002E33C5">
              <w:rPr>
                <w:rFonts w:ascii="Times New Roman" w:eastAsia="Times New Roman" w:hAnsi="Times New Roman" w:cs="Times New Roman"/>
                <w:sz w:val="24"/>
                <w:szCs w:val="24"/>
                <w:lang w:eastAsia="x-none"/>
              </w:rPr>
              <w:t xml:space="preserve"> </w:t>
            </w:r>
            <w:proofErr w:type="spellStart"/>
            <w:r w:rsidRPr="002E33C5">
              <w:rPr>
                <w:rFonts w:ascii="Times New Roman" w:eastAsia="Times New Roman" w:hAnsi="Times New Roman" w:cs="Times New Roman"/>
                <w:sz w:val="24"/>
                <w:szCs w:val="24"/>
                <w:lang w:eastAsia="x-none"/>
              </w:rPr>
              <w:t>E.Coli</w:t>
            </w:r>
            <w:proofErr w:type="spellEnd"/>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eastAsia="x-none"/>
              </w:rPr>
            </w:pPr>
            <w:proofErr w:type="spellStart"/>
            <w:r w:rsidRPr="002E33C5">
              <w:rPr>
                <w:rFonts w:ascii="Times New Roman" w:eastAsia="Times New Roman" w:hAnsi="Times New Roman" w:cs="Times New Roman"/>
                <w:sz w:val="24"/>
                <w:szCs w:val="24"/>
                <w:lang w:eastAsia="x-none"/>
              </w:rPr>
              <w:t>Luteus</w:t>
            </w:r>
            <w:proofErr w:type="spellEnd"/>
            <w:r w:rsidRPr="002E33C5">
              <w:rPr>
                <w:rFonts w:ascii="Times New Roman" w:eastAsia="Times New Roman" w:hAnsi="Times New Roman" w:cs="Times New Roman"/>
                <w:sz w:val="24"/>
                <w:szCs w:val="24"/>
                <w:lang w:eastAsia="x-none"/>
              </w:rPr>
              <w:t xml:space="preserve"> </w:t>
            </w:r>
            <w:proofErr w:type="spellStart"/>
            <w:r w:rsidRPr="002E33C5">
              <w:rPr>
                <w:rFonts w:ascii="Times New Roman" w:eastAsia="Times New Roman" w:hAnsi="Times New Roman" w:cs="Times New Roman"/>
                <w:sz w:val="24"/>
                <w:szCs w:val="24"/>
                <w:lang w:eastAsia="x-none"/>
              </w:rPr>
              <w:t>Mycoccus</w:t>
            </w:r>
            <w:proofErr w:type="spellEnd"/>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eastAsia="x-none"/>
              </w:rPr>
            </w:pPr>
            <w:proofErr w:type="spellStart"/>
            <w:r w:rsidRPr="002E33C5">
              <w:rPr>
                <w:rFonts w:ascii="Times New Roman" w:eastAsia="Times New Roman" w:hAnsi="Times New Roman" w:cs="Times New Roman"/>
                <w:sz w:val="24"/>
                <w:szCs w:val="24"/>
                <w:lang w:eastAsia="x-none"/>
              </w:rPr>
              <w:t>Staphilococcus</w:t>
            </w:r>
            <w:proofErr w:type="spellEnd"/>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eastAsia="x-none"/>
              </w:rPr>
            </w:pPr>
            <w:r w:rsidRPr="002E33C5">
              <w:rPr>
                <w:rFonts w:ascii="Times New Roman" w:eastAsia="Times New Roman" w:hAnsi="Times New Roman" w:cs="Times New Roman"/>
                <w:sz w:val="24"/>
                <w:szCs w:val="24"/>
                <w:lang w:eastAsia="x-none"/>
              </w:rPr>
              <w:t>Observation</w:t>
            </w:r>
          </w:p>
        </w:tc>
      </w:tr>
      <w:tr w:rsidR="002E33C5" w:rsidRPr="002E33C5" w:rsidTr="00A31A86">
        <w:trPr>
          <w:trHeight w:val="594"/>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eastAsia="x-none"/>
              </w:rPr>
            </w:pPr>
            <w:r w:rsidRPr="002E33C5">
              <w:rPr>
                <w:rFonts w:ascii="Times New Roman" w:eastAsia="Times New Roman" w:hAnsi="Times New Roman" w:cs="Times New Roman"/>
                <w:sz w:val="24"/>
                <w:szCs w:val="24"/>
                <w:lang w:eastAsia="x-none"/>
              </w:rPr>
              <w:t>H</w: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r>
      <w:tr w:rsidR="002E33C5" w:rsidRPr="002E33C5" w:rsidTr="00A31A86">
        <w:trPr>
          <w:trHeight w:val="842"/>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r w:rsidRPr="002E33C5">
              <w:rPr>
                <w:rFonts w:ascii="Times" w:eastAsia="Times New Roman" w:hAnsi="Times" w:cs="Times New Roman"/>
                <w:sz w:val="24"/>
                <w:szCs w:val="24"/>
                <w:lang w:val="x-none" w:eastAsia="x-none"/>
              </w:rPr>
              <w:object w:dxaOrig="1106" w:dyaOrig="706">
                <v:shape id="_x0000_i1026" type="#_x0000_t75" style="width:43.5pt;height:27.75pt" o:ole="">
                  <v:imagedata r:id="rId11" o:title=""/>
                </v:shape>
                <o:OLEObject Type="Embed" ProgID="ChemDraw.Document.6.0" ShapeID="_x0000_i1026" DrawAspect="Content" ObjectID="_1559036260" r:id="rId12"/>
              </w:objec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r>
      <w:tr w:rsidR="002E33C5" w:rsidRPr="002E33C5" w:rsidTr="00A31A86">
        <w:trPr>
          <w:trHeight w:val="1022"/>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r w:rsidRPr="002E33C5">
              <w:rPr>
                <w:rFonts w:ascii="Times" w:eastAsia="Times New Roman" w:hAnsi="Times" w:cs="Times New Roman"/>
                <w:sz w:val="24"/>
                <w:szCs w:val="24"/>
                <w:lang w:val="x-none" w:eastAsia="x-none"/>
              </w:rPr>
              <w:object w:dxaOrig="1335" w:dyaOrig="1167">
                <v:shape id="_x0000_i1027" type="#_x0000_t75" style="width:42.75pt;height:37.5pt" o:ole="">
                  <v:imagedata r:id="rId13" o:title=""/>
                </v:shape>
                <o:OLEObject Type="Embed" ProgID="ChemDraw.Document.6.0" ShapeID="_x0000_i1027" DrawAspect="Content" ObjectID="_1559036261" r:id="rId14"/>
              </w:objec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r>
      <w:tr w:rsidR="002E33C5" w:rsidRPr="002E33C5" w:rsidTr="00A31A86">
        <w:trPr>
          <w:trHeight w:val="981"/>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r w:rsidRPr="002E33C5">
              <w:rPr>
                <w:rFonts w:ascii="Times" w:eastAsia="Times New Roman" w:hAnsi="Times" w:cs="Times New Roman"/>
                <w:sz w:val="24"/>
                <w:szCs w:val="24"/>
                <w:lang w:val="x-none" w:eastAsia="x-none"/>
              </w:rPr>
              <w:object w:dxaOrig="1335" w:dyaOrig="1092">
                <v:shape id="_x0000_i1028" type="#_x0000_t75" style="width:43.5pt;height:35.25pt" o:ole="">
                  <v:imagedata r:id="rId15" o:title=""/>
                </v:shape>
                <o:OLEObject Type="Embed" ProgID="ChemDraw.Document.6.0" ShapeID="_x0000_i1028" DrawAspect="Content" ObjectID="_1559036262" r:id="rId16"/>
              </w:objec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r>
      <w:tr w:rsidR="002E33C5" w:rsidRPr="002E33C5" w:rsidTr="00A31A86">
        <w:trPr>
          <w:trHeight w:val="815"/>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r w:rsidRPr="002E33C5">
              <w:rPr>
                <w:rFonts w:ascii="Times" w:eastAsia="Times New Roman" w:hAnsi="Times" w:cs="Times New Roman"/>
                <w:sz w:val="24"/>
                <w:szCs w:val="24"/>
                <w:lang w:val="x-none" w:eastAsia="x-none"/>
              </w:rPr>
              <w:object w:dxaOrig="1378" w:dyaOrig="912">
                <v:shape id="_x0000_i1029" type="#_x0000_t75" style="width:39.75pt;height:26.25pt" o:ole="">
                  <v:imagedata r:id="rId17" o:title=""/>
                </v:shape>
                <o:OLEObject Type="Embed" ProgID="ChemDraw.Document.6.0" ShapeID="_x0000_i1029" DrawAspect="Content" ObjectID="_1559036263" r:id="rId18"/>
              </w:objec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r>
      <w:tr w:rsidR="002E33C5" w:rsidRPr="002E33C5" w:rsidTr="00A31A86">
        <w:trPr>
          <w:trHeight w:val="829"/>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r w:rsidRPr="002E33C5">
              <w:rPr>
                <w:rFonts w:ascii="Times" w:eastAsia="Times New Roman" w:hAnsi="Times" w:cs="Times New Roman"/>
                <w:sz w:val="24"/>
                <w:szCs w:val="24"/>
                <w:lang w:val="x-none" w:eastAsia="x-none"/>
              </w:rPr>
              <w:object w:dxaOrig="749" w:dyaOrig="912">
                <v:shape id="_x0000_i1030" type="#_x0000_t75" style="width:22.5pt;height:27.75pt" o:ole="">
                  <v:imagedata r:id="rId19" o:title=""/>
                </v:shape>
                <o:OLEObject Type="Embed" ProgID="ChemDraw.Document.6.0" ShapeID="_x0000_i1030" DrawAspect="Content" ObjectID="_1559036264" r:id="rId20"/>
              </w:objec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r>
      <w:tr w:rsidR="002E33C5" w:rsidRPr="002E33C5" w:rsidTr="00A31A86">
        <w:trPr>
          <w:trHeight w:val="1037"/>
        </w:trPr>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r w:rsidRPr="002E33C5">
              <w:rPr>
                <w:rFonts w:ascii="Times" w:eastAsia="Times New Roman" w:hAnsi="Times" w:cs="Times New Roman"/>
                <w:sz w:val="24"/>
                <w:szCs w:val="24"/>
                <w:lang w:val="x-none" w:eastAsia="x-none"/>
              </w:rPr>
              <w:object w:dxaOrig="749" w:dyaOrig="1306">
                <v:shape id="_x0000_i1031" type="#_x0000_t75" style="width:22.5pt;height:39pt" o:ole="">
                  <v:imagedata r:id="rId21" o:title=""/>
                </v:shape>
                <o:OLEObject Type="Embed" ProgID="ChemDraw.Document.6.0" ShapeID="_x0000_i1031" DrawAspect="Content" ObjectID="_1559036265" r:id="rId22"/>
              </w:object>
            </w: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c>
          <w:tcPr>
            <w:tcW w:w="1869" w:type="dxa"/>
          </w:tcPr>
          <w:p w:rsidR="002E33C5" w:rsidRPr="002E33C5" w:rsidRDefault="002E33C5" w:rsidP="002E33C5">
            <w:pPr>
              <w:autoSpaceDE w:val="0"/>
              <w:autoSpaceDN w:val="0"/>
              <w:spacing w:before="240" w:after="120"/>
              <w:jc w:val="both"/>
              <w:rPr>
                <w:rFonts w:ascii="Times New Roman" w:eastAsia="Times New Roman" w:hAnsi="Times New Roman" w:cs="Times New Roman"/>
                <w:sz w:val="24"/>
                <w:szCs w:val="24"/>
                <w:lang w:val="x-none" w:eastAsia="x-none"/>
              </w:rPr>
            </w:pPr>
          </w:p>
        </w:tc>
      </w:tr>
    </w:tbl>
    <w:p w:rsidR="002E33C5" w:rsidRDefault="002E33C5" w:rsidP="002E33C5"/>
    <w:p w:rsidR="002E33C5" w:rsidRDefault="002E33C5" w:rsidP="002E33C5"/>
    <w:p w:rsidR="002E33C5" w:rsidRPr="002E33C5" w:rsidRDefault="002E33C5" w:rsidP="002E33C5">
      <w:bookmarkStart w:id="0" w:name="_GoBack"/>
      <w:bookmarkEnd w:id="0"/>
    </w:p>
    <w:p w:rsidR="002E33C5" w:rsidRPr="002E33C5" w:rsidRDefault="002E33C5" w:rsidP="002E33C5">
      <w:pPr>
        <w:spacing w:after="0" w:line="240" w:lineRule="auto"/>
        <w:contextualSpacing/>
        <w:jc w:val="both"/>
        <w:rPr>
          <w:rFonts w:ascii="Times New Roman" w:hAnsi="Times New Roman" w:cs="Times New Roman"/>
          <w:sz w:val="24"/>
          <w:szCs w:val="24"/>
        </w:rPr>
      </w:pPr>
      <w:r w:rsidRPr="002E33C5">
        <w:rPr>
          <w:rFonts w:ascii="Times New Roman" w:hAnsi="Times New Roman" w:cs="Times New Roman"/>
          <w:sz w:val="24"/>
          <w:szCs w:val="24"/>
        </w:rPr>
        <w:lastRenderedPageBreak/>
        <w:t>R groups</w:t>
      </w:r>
    </w:p>
    <w:tbl>
      <w:tblPr>
        <w:tblStyle w:val="TableGrid"/>
        <w:tblW w:w="0" w:type="auto"/>
        <w:tblInd w:w="445" w:type="dxa"/>
        <w:tblLook w:val="04A0" w:firstRow="1" w:lastRow="0" w:firstColumn="1" w:lastColumn="0" w:noHBand="0" w:noVBand="1"/>
      </w:tblPr>
      <w:tblGrid>
        <w:gridCol w:w="583"/>
        <w:gridCol w:w="1282"/>
        <w:gridCol w:w="1559"/>
        <w:gridCol w:w="1386"/>
        <w:gridCol w:w="1386"/>
        <w:gridCol w:w="1212"/>
        <w:gridCol w:w="1126"/>
      </w:tblGrid>
      <w:tr w:rsidR="002E33C5" w:rsidRPr="002E33C5" w:rsidTr="00A31A86">
        <w:trPr>
          <w:trHeight w:val="784"/>
        </w:trPr>
        <w:tc>
          <w:tcPr>
            <w:tcW w:w="583" w:type="dxa"/>
          </w:tcPr>
          <w:p w:rsidR="002E33C5" w:rsidRPr="002E33C5" w:rsidRDefault="002E33C5" w:rsidP="002E33C5">
            <w:pPr>
              <w:contextualSpacing/>
              <w:jc w:val="both"/>
              <w:rPr>
                <w:rFonts w:ascii="Times New Roman" w:hAnsi="Times New Roman" w:cs="Times New Roman"/>
                <w:sz w:val="24"/>
                <w:szCs w:val="24"/>
              </w:rPr>
            </w:pPr>
          </w:p>
          <w:p w:rsidR="002E33C5" w:rsidRPr="002E33C5" w:rsidRDefault="002E33C5" w:rsidP="002E33C5">
            <w:pPr>
              <w:contextualSpacing/>
              <w:jc w:val="both"/>
              <w:rPr>
                <w:rFonts w:ascii="Times New Roman" w:hAnsi="Times New Roman" w:cs="Times New Roman"/>
                <w:sz w:val="20"/>
                <w:szCs w:val="20"/>
              </w:rPr>
            </w:pPr>
            <w:r w:rsidRPr="002E33C5">
              <w:rPr>
                <w:rFonts w:ascii="Times New Roman" w:hAnsi="Times New Roman" w:cs="Times New Roman"/>
                <w:sz w:val="24"/>
                <w:szCs w:val="24"/>
              </w:rPr>
              <w:t xml:space="preserve">           </w:t>
            </w:r>
            <w:r w:rsidRPr="002E33C5">
              <w:rPr>
                <w:rFonts w:ascii="Times New Roman" w:hAnsi="Times New Roman" w:cs="Times New Roman"/>
                <w:sz w:val="20"/>
                <w:szCs w:val="20"/>
              </w:rPr>
              <w:t>H</w:t>
            </w:r>
          </w:p>
        </w:tc>
        <w:tc>
          <w:tcPr>
            <w:tcW w:w="1235" w:type="dxa"/>
          </w:tcPr>
          <w:p w:rsidR="002E33C5" w:rsidRPr="002E33C5" w:rsidRDefault="002E33C5" w:rsidP="002E33C5">
            <w:pPr>
              <w:contextualSpacing/>
              <w:jc w:val="both"/>
            </w:pPr>
          </w:p>
          <w:p w:rsidR="002E33C5" w:rsidRPr="002E33C5" w:rsidRDefault="002E33C5" w:rsidP="002E33C5">
            <w:pPr>
              <w:contextualSpacing/>
              <w:jc w:val="both"/>
              <w:rPr>
                <w:rFonts w:ascii="Times New Roman" w:hAnsi="Times New Roman" w:cs="Times New Roman"/>
                <w:sz w:val="24"/>
                <w:szCs w:val="24"/>
              </w:rPr>
            </w:pPr>
            <w:r w:rsidRPr="002E33C5">
              <w:object w:dxaOrig="1106" w:dyaOrig="706">
                <v:shape id="_x0000_i1032" type="#_x0000_t75" style="width:53.25pt;height:33.75pt" o:ole="">
                  <v:imagedata r:id="rId23" o:title=""/>
                </v:shape>
                <o:OLEObject Type="Embed" ProgID="ChemDraw.Document.6.0" ShapeID="_x0000_i1032" DrawAspect="Content" ObjectID="_1559036266" r:id="rId24"/>
              </w:object>
            </w:r>
          </w:p>
        </w:tc>
        <w:tc>
          <w:tcPr>
            <w:tcW w:w="1559" w:type="dxa"/>
          </w:tcPr>
          <w:p w:rsidR="002E33C5" w:rsidRPr="002E33C5" w:rsidRDefault="002E33C5" w:rsidP="002E33C5">
            <w:pPr>
              <w:contextualSpacing/>
              <w:jc w:val="both"/>
              <w:rPr>
                <w:rFonts w:ascii="Times New Roman" w:hAnsi="Times New Roman" w:cs="Times New Roman"/>
                <w:sz w:val="24"/>
                <w:szCs w:val="24"/>
              </w:rPr>
            </w:pPr>
            <w:r w:rsidRPr="002E33C5">
              <w:t xml:space="preserve">   </w:t>
            </w:r>
            <w:r w:rsidRPr="002E33C5">
              <w:object w:dxaOrig="1335" w:dyaOrig="1167">
                <v:shape id="_x0000_i1033" type="#_x0000_t75" style="width:57pt;height:50.25pt" o:ole="">
                  <v:imagedata r:id="rId25" o:title=""/>
                </v:shape>
                <o:OLEObject Type="Embed" ProgID="ChemDraw.Document.6.0" ShapeID="_x0000_i1033" DrawAspect="Content" ObjectID="_1559036267" r:id="rId26"/>
              </w:object>
            </w:r>
          </w:p>
        </w:tc>
        <w:tc>
          <w:tcPr>
            <w:tcW w:w="1386" w:type="dxa"/>
          </w:tcPr>
          <w:p w:rsidR="002E33C5" w:rsidRPr="002E33C5" w:rsidRDefault="002E33C5" w:rsidP="002E33C5">
            <w:pPr>
              <w:contextualSpacing/>
              <w:jc w:val="both"/>
            </w:pPr>
          </w:p>
          <w:p w:rsidR="002E33C5" w:rsidRPr="002E33C5" w:rsidRDefault="002E33C5" w:rsidP="002E33C5">
            <w:pPr>
              <w:contextualSpacing/>
              <w:jc w:val="both"/>
              <w:rPr>
                <w:rFonts w:ascii="Times New Roman" w:hAnsi="Times New Roman" w:cs="Times New Roman"/>
                <w:sz w:val="24"/>
                <w:szCs w:val="24"/>
              </w:rPr>
            </w:pPr>
            <w:r w:rsidRPr="002E33C5">
              <w:object w:dxaOrig="1335" w:dyaOrig="1092">
                <v:shape id="_x0000_i1034" type="#_x0000_t75" style="width:53.25pt;height:43.5pt" o:ole="">
                  <v:imagedata r:id="rId27" o:title=""/>
                </v:shape>
                <o:OLEObject Type="Embed" ProgID="ChemDraw.Document.6.0" ShapeID="_x0000_i1034" DrawAspect="Content" ObjectID="_1559036268" r:id="rId28"/>
              </w:object>
            </w:r>
          </w:p>
        </w:tc>
        <w:tc>
          <w:tcPr>
            <w:tcW w:w="1386" w:type="dxa"/>
          </w:tcPr>
          <w:p w:rsidR="002E33C5" w:rsidRPr="002E33C5" w:rsidRDefault="002E33C5" w:rsidP="002E33C5">
            <w:pPr>
              <w:contextualSpacing/>
              <w:jc w:val="both"/>
            </w:pPr>
          </w:p>
          <w:p w:rsidR="002E33C5" w:rsidRPr="002E33C5" w:rsidRDefault="002E33C5" w:rsidP="002E33C5">
            <w:pPr>
              <w:contextualSpacing/>
              <w:jc w:val="both"/>
              <w:rPr>
                <w:rFonts w:ascii="Times New Roman" w:hAnsi="Times New Roman" w:cs="Times New Roman"/>
                <w:sz w:val="24"/>
                <w:szCs w:val="24"/>
              </w:rPr>
            </w:pPr>
            <w:r w:rsidRPr="002E33C5">
              <w:object w:dxaOrig="1378" w:dyaOrig="912">
                <v:shape id="_x0000_i1035" type="#_x0000_t75" style="width:57.75pt;height:38.25pt" o:ole="">
                  <v:imagedata r:id="rId29" o:title=""/>
                </v:shape>
                <o:OLEObject Type="Embed" ProgID="ChemDraw.Document.6.0" ShapeID="_x0000_i1035" DrawAspect="Content" ObjectID="_1559036269" r:id="rId30"/>
              </w:object>
            </w:r>
          </w:p>
        </w:tc>
        <w:tc>
          <w:tcPr>
            <w:tcW w:w="1212" w:type="dxa"/>
          </w:tcPr>
          <w:p w:rsidR="002E33C5" w:rsidRPr="002E33C5" w:rsidRDefault="002E33C5" w:rsidP="002E33C5">
            <w:pPr>
              <w:contextualSpacing/>
              <w:jc w:val="both"/>
            </w:pPr>
            <w:r w:rsidRPr="002E33C5">
              <w:t xml:space="preserve">   </w:t>
            </w:r>
          </w:p>
          <w:p w:rsidR="002E33C5" w:rsidRPr="002E33C5" w:rsidRDefault="002E33C5" w:rsidP="002E33C5">
            <w:pPr>
              <w:contextualSpacing/>
              <w:jc w:val="both"/>
              <w:rPr>
                <w:rFonts w:ascii="Times New Roman" w:hAnsi="Times New Roman" w:cs="Times New Roman"/>
                <w:sz w:val="24"/>
                <w:szCs w:val="24"/>
              </w:rPr>
            </w:pPr>
            <w:r w:rsidRPr="002E33C5">
              <w:t xml:space="preserve">    </w:t>
            </w:r>
            <w:r w:rsidRPr="002E33C5">
              <w:object w:dxaOrig="749" w:dyaOrig="912">
                <v:shape id="_x0000_i1036" type="#_x0000_t75" style="width:34.5pt;height:42pt" o:ole="">
                  <v:imagedata r:id="rId31" o:title=""/>
                </v:shape>
                <o:OLEObject Type="Embed" ProgID="ChemDraw.Document.6.0" ShapeID="_x0000_i1036" DrawAspect="Content" ObjectID="_1559036270" r:id="rId32"/>
              </w:object>
            </w:r>
          </w:p>
        </w:tc>
        <w:tc>
          <w:tcPr>
            <w:tcW w:w="1126" w:type="dxa"/>
          </w:tcPr>
          <w:p w:rsidR="002E33C5" w:rsidRPr="002E33C5" w:rsidRDefault="002E33C5" w:rsidP="002E33C5">
            <w:pPr>
              <w:contextualSpacing/>
              <w:jc w:val="both"/>
              <w:rPr>
                <w:rFonts w:ascii="Times New Roman" w:hAnsi="Times New Roman" w:cs="Times New Roman"/>
                <w:sz w:val="24"/>
                <w:szCs w:val="24"/>
              </w:rPr>
            </w:pPr>
            <w:r w:rsidRPr="002E33C5">
              <w:t xml:space="preserve">  </w:t>
            </w:r>
            <w:r w:rsidRPr="002E33C5">
              <w:object w:dxaOrig="749" w:dyaOrig="1306">
                <v:shape id="_x0000_i1037" type="#_x0000_t75" style="width:31.5pt;height:54.75pt" o:ole="">
                  <v:imagedata r:id="rId33" o:title=""/>
                </v:shape>
                <o:OLEObject Type="Embed" ProgID="ChemDraw.Document.6.0" ShapeID="_x0000_i1037" DrawAspect="Content" ObjectID="_1559036271" r:id="rId34"/>
              </w:object>
            </w:r>
          </w:p>
        </w:tc>
      </w:tr>
    </w:tbl>
    <w:p w:rsidR="002E33C5" w:rsidRPr="002E33C5" w:rsidRDefault="002E33C5" w:rsidP="002E33C5">
      <w:pPr>
        <w:spacing w:after="0" w:line="240" w:lineRule="auto"/>
        <w:contextualSpacing/>
        <w:jc w:val="both"/>
        <w:rPr>
          <w:rFonts w:ascii="Times New Roman" w:hAnsi="Times New Roman" w:cs="Times New Roman"/>
          <w:sz w:val="24"/>
          <w:szCs w:val="24"/>
        </w:rPr>
      </w:pPr>
    </w:p>
    <w:p w:rsidR="002E33C5" w:rsidRPr="002E33C5" w:rsidRDefault="002E33C5" w:rsidP="002E33C5">
      <w:pPr>
        <w:autoSpaceDE w:val="0"/>
        <w:autoSpaceDN w:val="0"/>
        <w:spacing w:after="120" w:line="240" w:lineRule="auto"/>
        <w:jc w:val="both"/>
        <w:rPr>
          <w:rFonts w:ascii="Times New Roman" w:eastAsia="Times New Roman" w:hAnsi="Times New Roman" w:cs="Times New Roman"/>
          <w:b/>
          <w:sz w:val="24"/>
          <w:szCs w:val="24"/>
          <w:lang w:val="x-none" w:eastAsia="x-none"/>
        </w:rPr>
      </w:pPr>
      <w:r w:rsidRPr="002E33C5">
        <w:rPr>
          <w:rFonts w:ascii="Times New Roman" w:eastAsia="Times New Roman" w:hAnsi="Times New Roman" w:cs="Times New Roman"/>
          <w:b/>
          <w:sz w:val="24"/>
          <w:szCs w:val="24"/>
          <w:lang w:val="x-none" w:eastAsia="x-none"/>
        </w:rPr>
        <w:t>Project time line</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540"/>
        <w:gridCol w:w="450"/>
        <w:gridCol w:w="450"/>
        <w:gridCol w:w="450"/>
        <w:gridCol w:w="450"/>
        <w:gridCol w:w="450"/>
        <w:gridCol w:w="450"/>
        <w:gridCol w:w="630"/>
      </w:tblGrid>
      <w:tr w:rsidR="002E33C5" w:rsidRPr="002E33C5" w:rsidTr="00A31A86">
        <w:trPr>
          <w:trHeight w:val="163"/>
          <w:jc w:val="center"/>
        </w:trPr>
        <w:tc>
          <w:tcPr>
            <w:tcW w:w="4770" w:type="dxa"/>
            <w:vMerge w:val="restart"/>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3870" w:type="dxa"/>
            <w:gridSpan w:val="8"/>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Weeks</w:t>
            </w:r>
          </w:p>
        </w:tc>
      </w:tr>
      <w:tr w:rsidR="002E33C5" w:rsidRPr="002E33C5" w:rsidTr="00A31A86">
        <w:trPr>
          <w:trHeight w:val="45"/>
          <w:jc w:val="center"/>
        </w:trPr>
        <w:tc>
          <w:tcPr>
            <w:tcW w:w="4770" w:type="dxa"/>
            <w:vMerge/>
            <w:tcBorders>
              <w:top w:val="single" w:sz="4" w:space="0" w:color="auto"/>
              <w:left w:val="single" w:sz="4" w:space="0" w:color="auto"/>
              <w:bottom w:val="single" w:sz="4" w:space="0" w:color="auto"/>
              <w:right w:val="single" w:sz="4" w:space="0" w:color="auto"/>
            </w:tcBorders>
            <w:vAlign w:val="center"/>
          </w:tcPr>
          <w:p w:rsidR="002E33C5" w:rsidRPr="002E33C5" w:rsidRDefault="002E33C5" w:rsidP="002E33C5">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2</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4</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5</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6</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7</w:t>
            </w: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8</w:t>
            </w:r>
          </w:p>
        </w:tc>
      </w:tr>
      <w:tr w:rsidR="002E33C5" w:rsidRPr="002E33C5" w:rsidTr="00A31A86">
        <w:trPr>
          <w:trHeight w:val="266"/>
          <w:jc w:val="center"/>
        </w:trPr>
        <w:tc>
          <w:tcPr>
            <w:tcW w:w="477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Literature search and current progress in the research area</w:t>
            </w: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r>
      <w:tr w:rsidR="002E33C5" w:rsidRPr="002E33C5" w:rsidTr="00A31A86">
        <w:trPr>
          <w:trHeight w:val="363"/>
          <w:jc w:val="center"/>
        </w:trPr>
        <w:tc>
          <w:tcPr>
            <w:tcW w:w="477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Synthesis of PAMAM-Sulfanilamide Conjugates</w:t>
            </w: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r>
      <w:tr w:rsidR="002E33C5" w:rsidRPr="002E33C5" w:rsidTr="00A31A86">
        <w:trPr>
          <w:trHeight w:val="262"/>
          <w:jc w:val="center"/>
        </w:trPr>
        <w:tc>
          <w:tcPr>
            <w:tcW w:w="477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Characterization of the PAMAM-Sulfanilamide Conjugates by NMR, IR, GCMS, and SEM</w:t>
            </w: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r>
      <w:tr w:rsidR="002E33C5" w:rsidRPr="002E33C5" w:rsidTr="00A31A86">
        <w:trPr>
          <w:trHeight w:val="329"/>
          <w:jc w:val="center"/>
        </w:trPr>
        <w:tc>
          <w:tcPr>
            <w:tcW w:w="477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Biological Testing by the Kirby-Bauer Test</w:t>
            </w: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r>
      <w:tr w:rsidR="002E33C5" w:rsidRPr="002E33C5" w:rsidTr="00A31A86">
        <w:trPr>
          <w:trHeight w:val="262"/>
          <w:jc w:val="center"/>
        </w:trPr>
        <w:tc>
          <w:tcPr>
            <w:tcW w:w="477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Calculation of Zone of Inhibition</w:t>
            </w: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r>
      <w:tr w:rsidR="002E33C5" w:rsidRPr="002E33C5" w:rsidTr="00A31A86">
        <w:trPr>
          <w:trHeight w:val="163"/>
          <w:jc w:val="center"/>
        </w:trPr>
        <w:tc>
          <w:tcPr>
            <w:tcW w:w="477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Result analysis</w:t>
            </w: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r>
      <w:tr w:rsidR="002E33C5" w:rsidRPr="002E33C5" w:rsidTr="00A31A86">
        <w:trPr>
          <w:trHeight w:val="266"/>
          <w:jc w:val="center"/>
        </w:trPr>
        <w:tc>
          <w:tcPr>
            <w:tcW w:w="477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Summarization of whole project and manuscript preparation</w:t>
            </w:r>
          </w:p>
        </w:tc>
        <w:tc>
          <w:tcPr>
            <w:tcW w:w="54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c>
          <w:tcPr>
            <w:tcW w:w="630" w:type="dxa"/>
            <w:tcBorders>
              <w:top w:val="single" w:sz="4" w:space="0" w:color="auto"/>
              <w:left w:val="single" w:sz="4" w:space="0" w:color="auto"/>
              <w:bottom w:val="single" w:sz="4" w:space="0" w:color="auto"/>
              <w:right w:val="single" w:sz="4" w:space="0" w:color="auto"/>
            </w:tcBorders>
          </w:tcPr>
          <w:p w:rsidR="002E33C5" w:rsidRPr="002E33C5" w:rsidRDefault="002E33C5" w:rsidP="002E33C5">
            <w:pPr>
              <w:jc w:val="both"/>
              <w:rPr>
                <w:rFonts w:ascii="Times New Roman" w:hAnsi="Times New Roman" w:cs="Times New Roman"/>
                <w:sz w:val="24"/>
                <w:szCs w:val="24"/>
              </w:rPr>
            </w:pPr>
            <w:r w:rsidRPr="002E33C5">
              <w:rPr>
                <w:rFonts w:ascii="Times New Roman" w:hAnsi="Times New Roman" w:cs="Times New Roman"/>
                <w:sz w:val="24"/>
                <w:szCs w:val="24"/>
              </w:rPr>
              <w:t>X</w:t>
            </w:r>
          </w:p>
        </w:tc>
      </w:tr>
    </w:tbl>
    <w:p w:rsidR="002E33C5" w:rsidRPr="002E33C5" w:rsidRDefault="002E33C5" w:rsidP="002E33C5">
      <w:pPr>
        <w:rPr>
          <w:rFonts w:ascii="Times New Roman" w:hAnsi="Times New Roman" w:cs="Times New Roman"/>
          <w:sz w:val="24"/>
          <w:szCs w:val="24"/>
        </w:rPr>
      </w:pPr>
    </w:p>
    <w:p w:rsidR="00E61198" w:rsidRDefault="002E33C5"/>
    <w:sectPr w:rsidR="00E6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73E7"/>
    <w:multiLevelType w:val="hybridMultilevel"/>
    <w:tmpl w:val="FF6A3E6E"/>
    <w:lvl w:ilvl="0" w:tplc="B41C40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C5"/>
    <w:rsid w:val="000E01D3"/>
    <w:rsid w:val="002E33C5"/>
    <w:rsid w:val="0087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93DE5-EA86-413C-B66F-2DF53DF7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oleObject" Target="embeddings/oleObject13.bin"/><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9.emf"/><Relationship Id="rId25" Type="http://schemas.openxmlformats.org/officeDocument/2006/relationships/image" Target="media/image13.emf"/><Relationship Id="rId33"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e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image" Target="media/image1.emf"/><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0.emf"/><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e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Mandouma, Ghislain</dc:creator>
  <cp:keywords/>
  <dc:description/>
  <cp:lastModifiedBy>Mandouma, Ghislain</cp:lastModifiedBy>
  <cp:revision>1</cp:revision>
  <dcterms:created xsi:type="dcterms:W3CDTF">2017-06-15T16:39:00Z</dcterms:created>
  <dcterms:modified xsi:type="dcterms:W3CDTF">2017-06-15T16:46:00Z</dcterms:modified>
</cp:coreProperties>
</file>