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704A" w14:textId="77777777" w:rsidR="005D2092" w:rsidRDefault="005D2092">
      <w:pPr>
        <w:pStyle w:val="Title"/>
      </w:pPr>
    </w:p>
    <w:p w14:paraId="7F76BE2A" w14:textId="77777777" w:rsidR="00007887" w:rsidRDefault="005475FA" w:rsidP="00007887">
      <w:pPr>
        <w:pStyle w:val="Heading1"/>
        <w:rPr>
          <w:bCs w:val="0"/>
        </w:rPr>
      </w:pPr>
      <w:r w:rsidRPr="005475FA">
        <w:rPr>
          <w:bCs w:val="0"/>
        </w:rPr>
        <w:t>Title III 5- Year Proposal</w:t>
      </w:r>
    </w:p>
    <w:p w14:paraId="096A580F" w14:textId="77777777" w:rsidR="005475FA" w:rsidRPr="005475FA" w:rsidRDefault="005475FA" w:rsidP="005475FA">
      <w:pPr>
        <w:jc w:val="center"/>
      </w:pPr>
      <w:r>
        <w:t>Covering October 1, 2017 – September 30, 2022</w:t>
      </w:r>
    </w:p>
    <w:p w14:paraId="4FC0E23C" w14:textId="77777777" w:rsidR="00B72D82" w:rsidRDefault="00B72D82" w:rsidP="00B72D82">
      <w:pPr>
        <w:rPr>
          <w:b/>
        </w:rPr>
      </w:pPr>
    </w:p>
    <w:p w14:paraId="35B3E6C6" w14:textId="77777777" w:rsidR="005475FA" w:rsidRPr="00B97579" w:rsidRDefault="005475FA" w:rsidP="00B72D82">
      <w:pPr>
        <w:rPr>
          <w:b/>
        </w:rPr>
      </w:pPr>
    </w:p>
    <w:p w14:paraId="51A8FEA3" w14:textId="77777777" w:rsidR="00007887" w:rsidRPr="00B97579" w:rsidRDefault="005D2092" w:rsidP="00B72D82">
      <w:pPr>
        <w:rPr>
          <w:b/>
          <w:i/>
        </w:rPr>
      </w:pPr>
      <w:r w:rsidRPr="00B97579">
        <w:rPr>
          <w:b/>
        </w:rPr>
        <w:t>Project Director:</w:t>
      </w:r>
      <w:r w:rsidR="00B97579" w:rsidRPr="00B97579">
        <w:rPr>
          <w:b/>
        </w:rPr>
        <w:t xml:space="preserve"> </w:t>
      </w:r>
      <w:r w:rsidR="00B97579" w:rsidRPr="00B97579">
        <w:rPr>
          <w:i/>
        </w:rPr>
        <w:t>Insert name</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3"/>
        <w:gridCol w:w="4677"/>
      </w:tblGrid>
      <w:tr w:rsidR="00007887" w:rsidRPr="00B97579" w14:paraId="686A8524" w14:textId="77777777">
        <w:trPr>
          <w:trHeight w:val="602"/>
          <w:jc w:val="center"/>
        </w:trPr>
        <w:tc>
          <w:tcPr>
            <w:tcW w:w="5508" w:type="dxa"/>
          </w:tcPr>
          <w:p w14:paraId="5B3DA2B5" w14:textId="77777777" w:rsidR="00007887" w:rsidRPr="00B97579" w:rsidRDefault="00007887">
            <w:pPr>
              <w:rPr>
                <w:b/>
              </w:rPr>
            </w:pPr>
            <w:r w:rsidRPr="00B97579">
              <w:rPr>
                <w:b/>
              </w:rPr>
              <w:t>1. Name of Institution:</w:t>
            </w:r>
            <w:r w:rsidR="005475FA">
              <w:rPr>
                <w:b/>
              </w:rPr>
              <w:t xml:space="preserve">  Albany State University</w:t>
            </w:r>
          </w:p>
          <w:p w14:paraId="6697DE61" w14:textId="77777777" w:rsidR="00007887" w:rsidRPr="00B97579" w:rsidRDefault="00007887">
            <w:pPr>
              <w:rPr>
                <w:b/>
                <w:i/>
              </w:rPr>
            </w:pPr>
          </w:p>
        </w:tc>
        <w:tc>
          <w:tcPr>
            <w:tcW w:w="5508" w:type="dxa"/>
          </w:tcPr>
          <w:p w14:paraId="6B3B2D44" w14:textId="1CB7A6F6" w:rsidR="00007887" w:rsidRPr="005475FA" w:rsidRDefault="00007887">
            <w:pPr>
              <w:rPr>
                <w:i/>
              </w:rPr>
            </w:pPr>
            <w:r w:rsidRPr="00B97579">
              <w:rPr>
                <w:b/>
              </w:rPr>
              <w:t xml:space="preserve">2. Activity Title: </w:t>
            </w:r>
            <w:r w:rsidR="00B209CB">
              <w:rPr>
                <w:b/>
              </w:rPr>
              <w:t>Center for Faculty Excellence</w:t>
            </w:r>
          </w:p>
          <w:p w14:paraId="58447779" w14:textId="77777777" w:rsidR="008D1B66" w:rsidRPr="00B97579" w:rsidRDefault="008D1B66">
            <w:pPr>
              <w:rPr>
                <w:b/>
              </w:rPr>
            </w:pPr>
          </w:p>
          <w:p w14:paraId="55A83AD7" w14:textId="77777777" w:rsidR="008D1B66" w:rsidRPr="00B97579" w:rsidRDefault="008D1B66">
            <w:pPr>
              <w:rPr>
                <w:b/>
              </w:rPr>
            </w:pPr>
          </w:p>
          <w:p w14:paraId="31E63ACC" w14:textId="77777777" w:rsidR="00007887" w:rsidRPr="00B97579" w:rsidRDefault="00007887" w:rsidP="005475FA">
            <w:pPr>
              <w:rPr>
                <w:b/>
              </w:rPr>
            </w:pPr>
            <w:r w:rsidRPr="00B97579">
              <w:rPr>
                <w:b/>
              </w:rPr>
              <w:t>3. Activity Number:</w:t>
            </w:r>
            <w:r w:rsidR="008D1B66" w:rsidRPr="00B97579">
              <w:rPr>
                <w:b/>
              </w:rPr>
              <w:t xml:space="preserve"> </w:t>
            </w:r>
            <w:r w:rsidR="005475FA">
              <w:rPr>
                <w:i/>
              </w:rPr>
              <w:t>To be completed by the Office of Title  III</w:t>
            </w:r>
          </w:p>
        </w:tc>
      </w:tr>
      <w:tr w:rsidR="00007887" w:rsidRPr="00B97579" w14:paraId="028E9CD1" w14:textId="77777777">
        <w:trPr>
          <w:trHeight w:val="584"/>
          <w:jc w:val="center"/>
        </w:trPr>
        <w:tc>
          <w:tcPr>
            <w:tcW w:w="5508" w:type="dxa"/>
          </w:tcPr>
          <w:p w14:paraId="59829888" w14:textId="666C6A69" w:rsidR="00007887" w:rsidRPr="00B97579" w:rsidRDefault="00007887" w:rsidP="00007887">
            <w:pPr>
              <w:rPr>
                <w:b/>
              </w:rPr>
            </w:pPr>
            <w:r w:rsidRPr="00B97579">
              <w:rPr>
                <w:b/>
              </w:rPr>
              <w:t>4. Focus Area:</w:t>
            </w:r>
            <w:r w:rsidRPr="00B97579">
              <w:rPr>
                <w:i/>
              </w:rPr>
              <w:t xml:space="preserve"> </w:t>
            </w:r>
            <w:r w:rsidR="00905EAF">
              <w:rPr>
                <w:i/>
              </w:rPr>
              <w:t>Faculty Development and Support for Excellence in Research and Teaching</w:t>
            </w:r>
            <w:r w:rsidR="00787E45">
              <w:rPr>
                <w:i/>
              </w:rPr>
              <w:t>.</w:t>
            </w:r>
          </w:p>
        </w:tc>
        <w:tc>
          <w:tcPr>
            <w:tcW w:w="5508" w:type="dxa"/>
          </w:tcPr>
          <w:p w14:paraId="02228D2D" w14:textId="671F1126" w:rsidR="00007887" w:rsidRPr="00B97579" w:rsidRDefault="00007887" w:rsidP="00FF4FF5">
            <w:pPr>
              <w:rPr>
                <w:b/>
              </w:rPr>
            </w:pPr>
            <w:r w:rsidRPr="00B97579">
              <w:rPr>
                <w:b/>
              </w:rPr>
              <w:t xml:space="preserve">5. LAA Category: </w:t>
            </w:r>
            <w:r w:rsidR="00EB4330">
              <w:rPr>
                <w:b/>
              </w:rPr>
              <w:t xml:space="preserve"> </w:t>
            </w:r>
            <w:r w:rsidR="00FF4FF5" w:rsidRPr="00FF4FF5">
              <w:t>Support for faculty exchanges, faculty development and faculty fellowship.</w:t>
            </w:r>
          </w:p>
        </w:tc>
      </w:tr>
    </w:tbl>
    <w:p w14:paraId="3422AA83" w14:textId="77777777" w:rsidR="00007887" w:rsidRPr="00B97579" w:rsidRDefault="00007887">
      <w:pPr>
        <w:rPr>
          <w:b/>
        </w:rPr>
      </w:pPr>
    </w:p>
    <w:p w14:paraId="30F430FD" w14:textId="77777777" w:rsidR="00007887" w:rsidRPr="00B97579" w:rsidRDefault="005D2092">
      <w:pPr>
        <w:rPr>
          <w:b/>
          <w:u w:val="single"/>
        </w:rPr>
      </w:pPr>
      <w:r w:rsidRPr="00B97579">
        <w:rPr>
          <w:b/>
        </w:rPr>
        <w:t>Budget Request Amount</w:t>
      </w:r>
      <w:r w:rsidR="00B97579" w:rsidRPr="00B97579">
        <w:rPr>
          <w:b/>
        </w:rPr>
        <w:t xml:space="preserve">: </w:t>
      </w:r>
      <w:r w:rsidRPr="00B97579">
        <w:rPr>
          <w:b/>
        </w:rPr>
        <w:t xml:space="preserve"> $</w:t>
      </w:r>
      <w:r w:rsidR="00B97579" w:rsidRPr="00B97579">
        <w:rPr>
          <w:b/>
          <w:u w:val="single"/>
        </w:rPr>
        <w:tab/>
      </w:r>
      <w:r w:rsidR="00B97579" w:rsidRPr="00B97579">
        <w:rPr>
          <w:b/>
          <w:u w:val="single"/>
        </w:rPr>
        <w:tab/>
      </w:r>
      <w:r w:rsidR="00B97579" w:rsidRPr="00B97579">
        <w:rPr>
          <w:b/>
          <w:u w:val="single"/>
        </w:rPr>
        <w:tab/>
      </w:r>
      <w:r w:rsidR="00B97579" w:rsidRPr="00B97579">
        <w:rPr>
          <w:b/>
          <w:u w:val="single"/>
        </w:rPr>
        <w:tab/>
      </w:r>
      <w:r w:rsidR="00B97579" w:rsidRPr="00B97579">
        <w:rPr>
          <w:b/>
          <w:u w:val="single"/>
        </w:rPr>
        <w:tab/>
      </w:r>
      <w:r w:rsidR="00B97579" w:rsidRPr="00B97579">
        <w:rPr>
          <w:b/>
          <w:u w:val="single"/>
        </w:rPr>
        <w:tab/>
      </w:r>
      <w:r w:rsidR="00B97579" w:rsidRPr="00B97579">
        <w:rPr>
          <w:b/>
          <w:u w:val="single"/>
        </w:rPr>
        <w:tab/>
      </w:r>
    </w:p>
    <w:p w14:paraId="23081E19" w14:textId="77777777" w:rsidR="005D2092" w:rsidRPr="005966F9" w:rsidRDefault="005D2092">
      <w:pPr>
        <w:rPr>
          <w:b/>
        </w:rPr>
      </w:pPr>
    </w:p>
    <w:p w14:paraId="097763CD" w14:textId="77777777" w:rsidR="005D2092" w:rsidRPr="005966F9" w:rsidRDefault="005D2092">
      <w:pPr>
        <w:rPr>
          <w:b/>
        </w:rPr>
      </w:pPr>
    </w:p>
    <w:p w14:paraId="443C6439" w14:textId="77777777" w:rsidR="00E12769" w:rsidRDefault="00007887">
      <w:pPr>
        <w:rPr>
          <w:b/>
        </w:rPr>
      </w:pPr>
      <w:r w:rsidRPr="005966F9">
        <w:rPr>
          <w:b/>
        </w:rPr>
        <w:t xml:space="preserve">6. </w:t>
      </w:r>
      <w:r w:rsidR="00E12769">
        <w:rPr>
          <w:b/>
        </w:rPr>
        <w:t xml:space="preserve"> Narrative</w:t>
      </w:r>
    </w:p>
    <w:p w14:paraId="5BDDB3C0" w14:textId="77777777" w:rsidR="00007887" w:rsidRPr="005966F9" w:rsidRDefault="00E12769">
      <w:pPr>
        <w:rPr>
          <w:b/>
        </w:rPr>
      </w:pPr>
      <w:r>
        <w:rPr>
          <w:b/>
        </w:rPr>
        <w:t>A.  INTRODUCTION</w:t>
      </w:r>
    </w:p>
    <w:p w14:paraId="6345ACCE" w14:textId="77777777" w:rsidR="00E12769" w:rsidRDefault="00D94AED" w:rsidP="00D94AED">
      <w:pPr>
        <w:rPr>
          <w:i/>
        </w:rPr>
      </w:pPr>
      <w:r w:rsidRPr="00B97579">
        <w:rPr>
          <w:i/>
        </w:rPr>
        <w:t xml:space="preserve">Enter Narrative </w:t>
      </w:r>
      <w:r w:rsidR="00E12769">
        <w:rPr>
          <w:i/>
        </w:rPr>
        <w:t>(Included intended purpose, serving population, demonstration of need and general expected outcome)</w:t>
      </w:r>
    </w:p>
    <w:p w14:paraId="030355CC" w14:textId="77777777" w:rsidR="00E12769" w:rsidRDefault="00E12769" w:rsidP="00D94AED">
      <w:pPr>
        <w:rPr>
          <w:i/>
        </w:rPr>
      </w:pPr>
    </w:p>
    <w:p w14:paraId="24E27562" w14:textId="55A6AAF0" w:rsidR="00E12769" w:rsidRDefault="009445E8" w:rsidP="00D94AED">
      <w:r>
        <w:t xml:space="preserve">The University System of Georgia identifies faculty development as a vital responsibility of </w:t>
      </w:r>
      <w:r w:rsidR="008E643C">
        <w:t xml:space="preserve">all of its institutions. The Center for Faculty Excellence at Albany State University will address </w:t>
      </w:r>
      <w:r w:rsidR="00ED7308">
        <w:t xml:space="preserve">unmet </w:t>
      </w:r>
      <w:r w:rsidR="008E643C">
        <w:t>needs of the institution’s faculty</w:t>
      </w:r>
      <w:r w:rsidR="004F676E">
        <w:t xml:space="preserve"> and</w:t>
      </w:r>
      <w:r w:rsidR="008E643C">
        <w:t xml:space="preserve"> support the university’s </w:t>
      </w:r>
      <w:r w:rsidR="00F07237">
        <w:t xml:space="preserve">goals of creating </w:t>
      </w:r>
      <w:r w:rsidR="004B1A6A">
        <w:t xml:space="preserve">a vibrant faculty that creates world-class teaching opportunities and increases retention and graduation rates. </w:t>
      </w:r>
      <w:r w:rsidR="00356D1F">
        <w:t xml:space="preserve">The scholarship of teaching and learning is designed to enhance faculty performance—and through it, student success—by providing faculty with development and support in their teaching and research endeavors. </w:t>
      </w:r>
    </w:p>
    <w:p w14:paraId="12A71C3B" w14:textId="3903F01B" w:rsidR="00FF4FF5" w:rsidRPr="00FF4FF5" w:rsidRDefault="00FF4FF5" w:rsidP="00D94AED">
      <w:r>
        <w:t xml:space="preserve">Some of the specific activities are: </w:t>
      </w:r>
      <w:r w:rsidRPr="00FF4FF5">
        <w:t>New Faculty Orientation; faculty development in tenure and promotion, teaching, and research; developing leadership in the academy through the provost fellow program; mini-grants to support teaching and research; faculty fellow program; promotion of high-impact practices (See AAC&amp;U website for information);  curriculum and course innovation and redesign;  promoting the scholarship of teaching and learning, recognition of faculty excellence through Points of Pride Magazine and other activities.</w:t>
      </w:r>
    </w:p>
    <w:p w14:paraId="1EBDFB9B" w14:textId="77777777" w:rsidR="00E12769" w:rsidRPr="00E12769" w:rsidRDefault="00E12769" w:rsidP="00D94AED">
      <w:pPr>
        <w:rPr>
          <w:i/>
        </w:rPr>
      </w:pPr>
    </w:p>
    <w:p w14:paraId="796A3C53" w14:textId="77777777" w:rsidR="008D1B66" w:rsidRDefault="00E12769" w:rsidP="00007887">
      <w:r w:rsidRPr="00E12769">
        <w:rPr>
          <w:b/>
        </w:rPr>
        <w:t xml:space="preserve">B. </w:t>
      </w:r>
      <w:r w:rsidR="007702AF">
        <w:rPr>
          <w:b/>
          <w:caps/>
        </w:rPr>
        <w:t>alignment with</w:t>
      </w:r>
      <w:r w:rsidRPr="00C140E5">
        <w:rPr>
          <w:b/>
          <w:caps/>
        </w:rPr>
        <w:t xml:space="preserve"> Institutional Strategic Plan</w:t>
      </w:r>
      <w:r>
        <w:t xml:space="preserve"> (Demonstrate how the proposed activity will assist the institution in achieving institutional goals)</w:t>
      </w:r>
    </w:p>
    <w:p w14:paraId="0FF017D5" w14:textId="77777777" w:rsidR="004B1A6A" w:rsidRDefault="004B1A6A" w:rsidP="00007887"/>
    <w:p w14:paraId="08CF0792" w14:textId="0C6EC4DC" w:rsidR="004B1A6A" w:rsidRDefault="004B1A6A" w:rsidP="00007887">
      <w:r>
        <w:t>The Center for Faculty Excellence</w:t>
      </w:r>
      <w:r w:rsidR="0063610A">
        <w:t xml:space="preserve"> serves multiple components of Albany State University’s Strategic Plan:</w:t>
      </w:r>
    </w:p>
    <w:p w14:paraId="370ADE78" w14:textId="695737BE" w:rsidR="00ED7308" w:rsidRDefault="00ED7308" w:rsidP="0063610A">
      <w:pPr>
        <w:pStyle w:val="ListParagraph"/>
        <w:numPr>
          <w:ilvl w:val="0"/>
          <w:numId w:val="40"/>
        </w:numPr>
      </w:pPr>
      <w:r>
        <w:t xml:space="preserve">Strategic Goal Two: Aspire to Excellence - </w:t>
      </w:r>
      <w:r w:rsidR="0063610A">
        <w:t>By supporting faculty excellence</w:t>
      </w:r>
      <w:r w:rsidR="00323A0F">
        <w:t xml:space="preserve"> in teaching and learning</w:t>
      </w:r>
      <w:r w:rsidR="0063610A">
        <w:t xml:space="preserve">, the Center supports the </w:t>
      </w:r>
      <w:r>
        <w:t xml:space="preserve">goal of the institution increase the recognition of the </w:t>
      </w:r>
      <w:r>
        <w:lastRenderedPageBreak/>
        <w:t>university as an institution that provides students access to faculty who are successful researchers and who employ the most innovative pedagogies.</w:t>
      </w:r>
    </w:p>
    <w:p w14:paraId="3F2513A0" w14:textId="0F4E52D4" w:rsidR="0063610A" w:rsidRDefault="00ED7308" w:rsidP="0063610A">
      <w:pPr>
        <w:pStyle w:val="ListParagraph"/>
        <w:numPr>
          <w:ilvl w:val="0"/>
          <w:numId w:val="40"/>
        </w:numPr>
      </w:pPr>
      <w:r>
        <w:t xml:space="preserve"> Strategic Goal Three: Embrace Diversity – By providing faculty development that includes instruction in cultural awareness, the Center prepares faculty to effectively instruct a diverse student body</w:t>
      </w:r>
    </w:p>
    <w:p w14:paraId="4ACC3CA6" w14:textId="136FD3BE" w:rsidR="00ED7308" w:rsidRDefault="00ED7308" w:rsidP="0063610A">
      <w:pPr>
        <w:pStyle w:val="ListParagraph"/>
        <w:numPr>
          <w:ilvl w:val="0"/>
          <w:numId w:val="40"/>
        </w:numPr>
      </w:pPr>
      <w:r>
        <w:t>Strategic Goal Five: Elevate Historically Underserved Populations – By providing access to a broad variety of faculty development experiences, the Center will prepare the faculty to effectively serve a student body that is diverse in race, ethnicity, class, and age, as well as other challenges to educational success.</w:t>
      </w:r>
    </w:p>
    <w:p w14:paraId="62EF5A80" w14:textId="062FF4D6" w:rsidR="00ED7308" w:rsidRDefault="00ED7308" w:rsidP="0063610A">
      <w:pPr>
        <w:pStyle w:val="ListParagraph"/>
        <w:numPr>
          <w:ilvl w:val="0"/>
          <w:numId w:val="40"/>
        </w:numPr>
      </w:pPr>
      <w:r>
        <w:t>Strategic Goal Six: Promote Economic Development – The Center supports this goal by offering faculty mini-grants and other opportunities specifically designed to promote experiential learning and applied research.</w:t>
      </w:r>
    </w:p>
    <w:p w14:paraId="57E1A2D0" w14:textId="68FD30F2" w:rsidR="00ED7308" w:rsidRDefault="00ED7308" w:rsidP="0063610A">
      <w:pPr>
        <w:pStyle w:val="ListParagraph"/>
        <w:numPr>
          <w:ilvl w:val="0"/>
          <w:numId w:val="40"/>
        </w:numPr>
      </w:pPr>
      <w:r>
        <w:t xml:space="preserve">Strategic Goal Seven: Attract and Retain Talented Personnel </w:t>
      </w:r>
      <w:r w:rsidR="000851F0">
        <w:t>–</w:t>
      </w:r>
      <w:r>
        <w:t xml:space="preserve"> </w:t>
      </w:r>
      <w:r w:rsidR="000851F0">
        <w:t>Through the Center, the university will attract and retain talented faculty by becoming known for providing faculty opportunities such as the Faculty Fellows Program and mini-grants, as well as through faculty development designed to support progression through the promotion and tenure processes.</w:t>
      </w:r>
      <w:r w:rsidR="00FD5730">
        <w:t xml:space="preserve"> The Center will also house New Faculty Orientation, a year-long set of activities designed to provide faculty with the information and skills necessary to be successful academics and successfully complete the promotion and tenure process. </w:t>
      </w:r>
    </w:p>
    <w:p w14:paraId="7B99463E" w14:textId="77777777" w:rsidR="00C140E5" w:rsidRDefault="00C140E5" w:rsidP="00007887"/>
    <w:p w14:paraId="4228AFBC" w14:textId="77777777" w:rsidR="00C140E5" w:rsidRDefault="00C140E5" w:rsidP="00007887"/>
    <w:p w14:paraId="2DEA98D6" w14:textId="77777777" w:rsidR="00C140E5" w:rsidRPr="00C140E5" w:rsidRDefault="00C140E5" w:rsidP="00007887">
      <w:pPr>
        <w:rPr>
          <w:b/>
          <w:caps/>
        </w:rPr>
      </w:pPr>
      <w:r w:rsidRPr="00C140E5">
        <w:rPr>
          <w:b/>
          <w:caps/>
        </w:rPr>
        <w:t xml:space="preserve">C.  </w:t>
      </w:r>
      <w:r w:rsidR="009C390A">
        <w:rPr>
          <w:b/>
          <w:caps/>
        </w:rPr>
        <w:t>alignment</w:t>
      </w:r>
      <w:r w:rsidRPr="00C140E5">
        <w:rPr>
          <w:b/>
          <w:caps/>
        </w:rPr>
        <w:t xml:space="preserve"> to Title III Purpose </w:t>
      </w:r>
    </w:p>
    <w:p w14:paraId="7C82647E" w14:textId="07286894" w:rsidR="000851F0" w:rsidRDefault="000851F0" w:rsidP="000851F0">
      <w:pPr>
        <w:numPr>
          <w:ilvl w:val="0"/>
          <w:numId w:val="35"/>
        </w:numPr>
      </w:pPr>
      <w:r>
        <w:t>The Center for Faculty Excellence will assist the institution in increasing enrollment, retention, and graduation through a variety of activities:</w:t>
      </w:r>
    </w:p>
    <w:p w14:paraId="20D22CDC" w14:textId="2FEB9E39" w:rsidR="000851F0" w:rsidRDefault="000851F0" w:rsidP="000851F0">
      <w:pPr>
        <w:numPr>
          <w:ilvl w:val="1"/>
          <w:numId w:val="35"/>
        </w:numPr>
      </w:pPr>
      <w:r>
        <w:t>Through its programs, the Center will encourage faculty research and engagement in their disciplines. This improves classroom instruction and raises the profile of the institution academically. This, in turn, attracts students to the institution.</w:t>
      </w:r>
    </w:p>
    <w:p w14:paraId="3440AAF7" w14:textId="00D90E20" w:rsidR="000851F0" w:rsidRDefault="000851F0" w:rsidP="000851F0">
      <w:pPr>
        <w:numPr>
          <w:ilvl w:val="1"/>
          <w:numId w:val="35"/>
        </w:numPr>
      </w:pPr>
      <w:r>
        <w:t>Through its faculty development in teaching and learning, the Center will support faculty in enhancing their pedagogical strategies designed to maximize student success—supporting progression and graduation.</w:t>
      </w:r>
    </w:p>
    <w:p w14:paraId="31563501" w14:textId="77777777" w:rsidR="000851F0" w:rsidRDefault="000851F0" w:rsidP="000851F0"/>
    <w:p w14:paraId="21FF9CE5" w14:textId="7303BE4E" w:rsidR="000851F0" w:rsidRDefault="000851F0" w:rsidP="00C140E5">
      <w:pPr>
        <w:numPr>
          <w:ilvl w:val="0"/>
          <w:numId w:val="35"/>
        </w:numPr>
      </w:pPr>
      <w:r>
        <w:t xml:space="preserve">The Center for Faculty Excellence will become one of the university’s primary tools for increasing Academic Quality. </w:t>
      </w:r>
      <w:r w:rsidR="00151B1B">
        <w:t xml:space="preserve">Through its support and programs, the Center </w:t>
      </w:r>
      <w:r w:rsidR="00285736">
        <w:t xml:space="preserve">supports faculty engagement in their disciplines through research and publishing, and it will provide instruction to faculty in how to most effectively transfer that knowledge to the institution’s students. </w:t>
      </w:r>
    </w:p>
    <w:p w14:paraId="74762203" w14:textId="77777777" w:rsidR="00285736" w:rsidRDefault="00285736" w:rsidP="00285736">
      <w:pPr>
        <w:ind w:left="360"/>
      </w:pPr>
    </w:p>
    <w:p w14:paraId="520D5079" w14:textId="22C612C8" w:rsidR="00C140E5" w:rsidRDefault="00D025EB" w:rsidP="00C140E5">
      <w:pPr>
        <w:numPr>
          <w:ilvl w:val="0"/>
          <w:numId w:val="35"/>
        </w:numPr>
      </w:pPr>
      <w:r>
        <w:t xml:space="preserve">The Center for Faculty Excellence will be the university’s home for several Legislative Allowable Activities, such as Faculty Fellowships (the Provost Fellows Program and the Faculty Fellows Program), faculty development in the scholarship of teaching and learning, </w:t>
      </w:r>
      <w:r w:rsidR="00091D91">
        <w:t xml:space="preserve">and </w:t>
      </w:r>
      <w:r>
        <w:t xml:space="preserve">providing access to materials in support of improved instruction, </w:t>
      </w:r>
      <w:r w:rsidR="00091D91">
        <w:t>among other activities.</w:t>
      </w:r>
    </w:p>
    <w:p w14:paraId="63D50BCB" w14:textId="77777777" w:rsidR="008E024E" w:rsidRDefault="008E024E" w:rsidP="008E024E"/>
    <w:p w14:paraId="7F3262C7" w14:textId="77777777" w:rsidR="008E024E" w:rsidRPr="008E024E" w:rsidRDefault="008E024E" w:rsidP="008E024E">
      <w:pPr>
        <w:rPr>
          <w:b/>
        </w:rPr>
      </w:pPr>
      <w:r w:rsidRPr="008E024E">
        <w:rPr>
          <w:b/>
        </w:rPr>
        <w:t>D.   OVERVIEW OF OBJECTIVES AND IMPLEMENTATION STRATEGY</w:t>
      </w:r>
    </w:p>
    <w:p w14:paraId="4B046C0C" w14:textId="77777777" w:rsidR="008E024E" w:rsidRDefault="008E024E" w:rsidP="008E024E">
      <w:pPr>
        <w:numPr>
          <w:ilvl w:val="0"/>
          <w:numId w:val="36"/>
        </w:numPr>
      </w:pPr>
      <w:r>
        <w:t>Provide a summary of the objectives for this activity</w:t>
      </w:r>
      <w:r w:rsidR="00637A1F">
        <w:t>.  Objectives must be stated in measurable terms.</w:t>
      </w:r>
    </w:p>
    <w:p w14:paraId="03B1D6AA" w14:textId="77777777" w:rsidR="008E024E" w:rsidRDefault="008E024E" w:rsidP="008E024E">
      <w:pPr>
        <w:numPr>
          <w:ilvl w:val="0"/>
          <w:numId w:val="36"/>
        </w:numPr>
      </w:pPr>
      <w:r>
        <w:lastRenderedPageBreak/>
        <w:t>Provide a summary of implementation strategy.  How will the objectives will be achieved?  Include partnerships and collaborations.</w:t>
      </w:r>
    </w:p>
    <w:p w14:paraId="09ECF365" w14:textId="77777777" w:rsidR="005D2EB8" w:rsidRPr="00FF4FF5" w:rsidRDefault="005D2EB8" w:rsidP="005D2EB8">
      <w:pPr>
        <w:rPr>
          <w:b/>
        </w:rPr>
      </w:pPr>
    </w:p>
    <w:p w14:paraId="62422854" w14:textId="78FC7C79" w:rsidR="005D2EB8" w:rsidRPr="00FF4FF5" w:rsidRDefault="005D2EB8" w:rsidP="005D2EB8">
      <w:pPr>
        <w:rPr>
          <w:i/>
        </w:rPr>
      </w:pPr>
      <w:r w:rsidRPr="00FF4FF5">
        <w:rPr>
          <w:i/>
        </w:rPr>
        <w:t>See the attached Activity Objectives and Anticipated Results form.</w:t>
      </w:r>
    </w:p>
    <w:p w14:paraId="5884E41D" w14:textId="77777777" w:rsidR="008D1B66" w:rsidRPr="00FF4FF5" w:rsidRDefault="008D1B66" w:rsidP="00007887">
      <w:pPr>
        <w:rPr>
          <w:i/>
        </w:rPr>
      </w:pPr>
    </w:p>
    <w:p w14:paraId="7D301AC0" w14:textId="77777777" w:rsidR="008E024E" w:rsidRPr="00FF4FF5" w:rsidRDefault="008E024E" w:rsidP="00007887">
      <w:pPr>
        <w:rPr>
          <w:i/>
        </w:rPr>
      </w:pPr>
    </w:p>
    <w:p w14:paraId="397F3F5F" w14:textId="77777777" w:rsidR="008E024E" w:rsidRDefault="008E024E" w:rsidP="00007887">
      <w:pPr>
        <w:rPr>
          <w:b/>
        </w:rPr>
      </w:pPr>
      <w:r w:rsidRPr="008E024E">
        <w:rPr>
          <w:b/>
        </w:rPr>
        <w:t>E.  KEY PERSONNEL</w:t>
      </w:r>
    </w:p>
    <w:p w14:paraId="61AEF0A8" w14:textId="24D45C1B" w:rsidR="008E024E" w:rsidRPr="00091B53" w:rsidRDefault="00091B53" w:rsidP="008E024E">
      <w:pPr>
        <w:numPr>
          <w:ilvl w:val="0"/>
          <w:numId w:val="37"/>
        </w:numPr>
        <w:rPr>
          <w:b/>
        </w:rPr>
      </w:pPr>
      <w:r>
        <w:t>Director of Center for Faculty Excellence:</w:t>
      </w:r>
    </w:p>
    <w:p w14:paraId="0FFDC9D9" w14:textId="55EA4C59" w:rsidR="00091B53" w:rsidRPr="008E024E" w:rsidRDefault="00091B53" w:rsidP="00091B53">
      <w:pPr>
        <w:numPr>
          <w:ilvl w:val="1"/>
          <w:numId w:val="37"/>
        </w:numPr>
        <w:rPr>
          <w:b/>
        </w:rPr>
      </w:pPr>
      <w:r>
        <w:t>The director will be primarily responsible for the planning and execution of the activities of the Center. The director oversees the center’s programs and services focused on faculty development and excellence in teaching and scholarship. The director will work with faculty and other university leaders to assess the needs of faculty and to develop programs that will enhance and support their teaching, service to the university, scholarship, and professional &amp; leadership development leadership. The director will plan, implement, and assess for ongoing improvement center programs, conduct faculty workshops in face-to-face and virtual environments, and work with departments across the campuses to provide effective in-service and out-service professional development programming.</w:t>
      </w:r>
    </w:p>
    <w:p w14:paraId="0F53525F" w14:textId="787B14A8" w:rsidR="008E024E" w:rsidRPr="00091B53" w:rsidRDefault="00091B53" w:rsidP="008E024E">
      <w:pPr>
        <w:numPr>
          <w:ilvl w:val="0"/>
          <w:numId w:val="37"/>
        </w:numPr>
        <w:rPr>
          <w:b/>
        </w:rPr>
      </w:pPr>
      <w:r>
        <w:t>Administrative Specialist:</w:t>
      </w:r>
    </w:p>
    <w:p w14:paraId="01DE4105" w14:textId="76BD4AC1" w:rsidR="00091B53" w:rsidRPr="00091B53" w:rsidRDefault="00091B53" w:rsidP="00091B53">
      <w:pPr>
        <w:numPr>
          <w:ilvl w:val="1"/>
          <w:numId w:val="37"/>
        </w:numPr>
        <w:rPr>
          <w:b/>
        </w:rPr>
      </w:pPr>
      <w:r>
        <w:t>The specialist will support the director in organizing the activities of the Center and act as a liaison between the Center and other departments, programs, and offices at the university.</w:t>
      </w:r>
    </w:p>
    <w:p w14:paraId="756675AC" w14:textId="63F5BBA7" w:rsidR="00091B53" w:rsidRPr="00091B53" w:rsidRDefault="00091B53" w:rsidP="00091B53">
      <w:pPr>
        <w:numPr>
          <w:ilvl w:val="0"/>
          <w:numId w:val="37"/>
        </w:numPr>
        <w:rPr>
          <w:b/>
        </w:rPr>
      </w:pPr>
      <w:r>
        <w:t>Provost Fellows:</w:t>
      </w:r>
    </w:p>
    <w:p w14:paraId="56E9D74E" w14:textId="567F5399" w:rsidR="00091B53" w:rsidRPr="00091B53" w:rsidRDefault="00091B53" w:rsidP="00091B53">
      <w:pPr>
        <w:numPr>
          <w:ilvl w:val="1"/>
          <w:numId w:val="37"/>
        </w:numPr>
        <w:rPr>
          <w:b/>
        </w:rPr>
      </w:pPr>
      <w:r>
        <w:t>The Center houses the Provost Fellow Program, designed to provide talented faculty the opportunity to explore academic leadership through partial integration into administrative functions. The Fellows will be appointed for up to two years of service and will receive a stipend.</w:t>
      </w:r>
    </w:p>
    <w:p w14:paraId="49F1A622" w14:textId="1CEE4208" w:rsidR="00091B53" w:rsidRPr="00091B53" w:rsidRDefault="00091B53" w:rsidP="00091B53">
      <w:pPr>
        <w:numPr>
          <w:ilvl w:val="0"/>
          <w:numId w:val="37"/>
        </w:numPr>
        <w:rPr>
          <w:b/>
        </w:rPr>
      </w:pPr>
      <w:r>
        <w:t>Faculty Fellows:</w:t>
      </w:r>
    </w:p>
    <w:p w14:paraId="6DB6E7FA" w14:textId="054344A9" w:rsidR="00091B53" w:rsidRPr="00CA25E0" w:rsidRDefault="00091B53" w:rsidP="00091B53">
      <w:pPr>
        <w:numPr>
          <w:ilvl w:val="1"/>
          <w:numId w:val="37"/>
        </w:numPr>
        <w:rPr>
          <w:b/>
        </w:rPr>
      </w:pPr>
      <w:r>
        <w:t xml:space="preserve">Each year, the Center will </w:t>
      </w:r>
      <w:r w:rsidR="00A22BE8">
        <w:t xml:space="preserve">house up to five Faculty Fellows who will each support faculty development in particular pedagogical skills </w:t>
      </w:r>
      <w:r w:rsidR="006C2756">
        <w:t>and participate in course redesign. Fellows will receive a stipend.</w:t>
      </w:r>
    </w:p>
    <w:p w14:paraId="0A8BCB39" w14:textId="77777777" w:rsidR="00CA25E0" w:rsidRDefault="00CA25E0" w:rsidP="00CA25E0"/>
    <w:p w14:paraId="300012D7" w14:textId="77777777" w:rsidR="00CA25E0" w:rsidRDefault="00CA25E0" w:rsidP="00CA25E0">
      <w:pPr>
        <w:rPr>
          <w:b/>
        </w:rPr>
      </w:pPr>
      <w:r w:rsidRPr="00CA25E0">
        <w:rPr>
          <w:b/>
        </w:rPr>
        <w:t>F.   ASSESSMENT PLAN</w:t>
      </w:r>
    </w:p>
    <w:p w14:paraId="0DDF8060" w14:textId="77777777" w:rsidR="005475FA" w:rsidRPr="00C80BFC" w:rsidRDefault="005475FA" w:rsidP="005475FA">
      <w:pPr>
        <w:numPr>
          <w:ilvl w:val="0"/>
          <w:numId w:val="38"/>
        </w:numPr>
        <w:rPr>
          <w:b/>
        </w:rPr>
      </w:pPr>
      <w:r>
        <w:t>Identify methods assessment of the project to determine effectiveness.</w:t>
      </w:r>
    </w:p>
    <w:p w14:paraId="524C942D" w14:textId="77777777" w:rsidR="00C80BFC" w:rsidRPr="00CA25E0" w:rsidRDefault="00C80BFC" w:rsidP="005475FA">
      <w:pPr>
        <w:numPr>
          <w:ilvl w:val="0"/>
          <w:numId w:val="38"/>
        </w:numPr>
        <w:rPr>
          <w:b/>
        </w:rPr>
      </w:pPr>
      <w:r>
        <w:t>Identify methods used to determine achievement of programmatic objectives.</w:t>
      </w:r>
    </w:p>
    <w:p w14:paraId="5EDD701E" w14:textId="77777777" w:rsidR="00CA25E0" w:rsidRDefault="00CA25E0" w:rsidP="00CA25E0"/>
    <w:p w14:paraId="70230CB5" w14:textId="77777777" w:rsidR="00CA25E0" w:rsidRDefault="00CA25E0" w:rsidP="00CA25E0"/>
    <w:p w14:paraId="0BAB657B" w14:textId="77777777" w:rsidR="00CA25E0" w:rsidRDefault="00CA25E0" w:rsidP="00CA25E0">
      <w:pPr>
        <w:rPr>
          <w:b/>
        </w:rPr>
      </w:pPr>
      <w:r w:rsidRPr="00CA25E0">
        <w:rPr>
          <w:b/>
        </w:rPr>
        <w:t>G. INSTITUTIONALIZATION PLAN</w:t>
      </w:r>
    </w:p>
    <w:p w14:paraId="4960DE8C" w14:textId="77777777" w:rsidR="005475FA" w:rsidRPr="005475FA" w:rsidRDefault="005475FA" w:rsidP="005475FA">
      <w:pPr>
        <w:numPr>
          <w:ilvl w:val="0"/>
          <w:numId w:val="38"/>
        </w:numPr>
        <w:rPr>
          <w:b/>
        </w:rPr>
      </w:pPr>
      <w:r>
        <w:t>Provide a plan demonstrating how the project will be institutionalized by the end of the five-year grant.</w:t>
      </w:r>
    </w:p>
    <w:p w14:paraId="244689E9" w14:textId="77777777" w:rsidR="00C80BFC" w:rsidRPr="00C80BFC" w:rsidRDefault="005475FA" w:rsidP="005475FA">
      <w:pPr>
        <w:numPr>
          <w:ilvl w:val="1"/>
          <w:numId w:val="38"/>
        </w:numPr>
        <w:rPr>
          <w:b/>
        </w:rPr>
      </w:pPr>
      <w:r>
        <w:t xml:space="preserve">Provide a yearly plan of institutionalization which includes </w:t>
      </w:r>
      <w:r w:rsidR="00C80BFC">
        <w:t xml:space="preserve">Title III </w:t>
      </w:r>
      <w:r>
        <w:t>personnel reduction</w:t>
      </w:r>
      <w:r w:rsidR="00C80BFC">
        <w:t>.</w:t>
      </w:r>
    </w:p>
    <w:p w14:paraId="41257C72" w14:textId="77777777" w:rsidR="005475FA" w:rsidRPr="00CA25E0" w:rsidRDefault="00C80BFC" w:rsidP="005475FA">
      <w:pPr>
        <w:numPr>
          <w:ilvl w:val="1"/>
          <w:numId w:val="38"/>
        </w:numPr>
        <w:rPr>
          <w:b/>
        </w:rPr>
      </w:pPr>
      <w:r>
        <w:t>Funding or collaboration for continued services on a yearly basis.</w:t>
      </w:r>
      <w:r w:rsidR="005475FA">
        <w:t xml:space="preserve"> </w:t>
      </w:r>
      <w:r w:rsidR="005475FA">
        <w:tab/>
      </w:r>
    </w:p>
    <w:p w14:paraId="56240238" w14:textId="77777777" w:rsidR="008E024E" w:rsidRPr="00D94AED" w:rsidRDefault="008E024E" w:rsidP="00007887"/>
    <w:p w14:paraId="3E761242" w14:textId="77777777" w:rsidR="008D1B66" w:rsidRPr="00D94AED" w:rsidRDefault="008D1B66" w:rsidP="00007887"/>
    <w:p w14:paraId="52A747BD" w14:textId="77777777" w:rsidR="00007887" w:rsidRPr="00E428A1" w:rsidRDefault="00007887" w:rsidP="00007887">
      <w:pPr>
        <w:rPr>
          <w:b/>
        </w:rPr>
      </w:pPr>
      <w:r w:rsidRPr="00E428A1">
        <w:rPr>
          <w:b/>
        </w:rPr>
        <w:br w:type="page"/>
      </w:r>
    </w:p>
    <w:p w14:paraId="76780EB9" w14:textId="77777777" w:rsidR="00007887" w:rsidRPr="00E428A1" w:rsidRDefault="00007887">
      <w:pPr>
        <w:pStyle w:val="Heading2"/>
        <w:jc w:val="center"/>
      </w:pPr>
      <w:r w:rsidRPr="00E428A1">
        <w:lastRenderedPageBreak/>
        <w:t>ACTIVITY OBJECTIVES AND ANTICIPATED RESULTS</w:t>
      </w:r>
    </w:p>
    <w:p w14:paraId="76D9D314" w14:textId="1F5400E3" w:rsidR="00007887" w:rsidRPr="008D1B66" w:rsidRDefault="00007887">
      <w:pPr>
        <w:pStyle w:val="Heading1"/>
        <w:rPr>
          <w:bCs w:val="0"/>
          <w:u w:val="single"/>
        </w:rPr>
      </w:pPr>
      <w:r w:rsidRPr="00E428A1">
        <w:rPr>
          <w:bCs w:val="0"/>
        </w:rPr>
        <w:t xml:space="preserve">Grant Period: </w:t>
      </w:r>
      <w:r w:rsidR="008A67F7">
        <w:rPr>
          <w:bCs w:val="0"/>
        </w:rPr>
        <w:t>October 1, 2017-September 30, 2018</w:t>
      </w:r>
      <w:r w:rsidR="008A67F7">
        <w:rPr>
          <w:bCs w:val="0"/>
          <w:u w:val="single"/>
        </w:rPr>
        <w:t>.</w:t>
      </w:r>
    </w:p>
    <w:p w14:paraId="1D839A7B" w14:textId="77777777" w:rsidR="00007887" w:rsidRPr="00E428A1" w:rsidRDefault="00007887" w:rsidP="00007887"/>
    <w:p w14:paraId="5CCA3008" w14:textId="77777777" w:rsidR="00007887" w:rsidRPr="004E3789" w:rsidRDefault="004E3789" w:rsidP="004E3789">
      <w:pPr>
        <w:jc w:val="center"/>
        <w:rPr>
          <w:b/>
          <w:i/>
        </w:rPr>
      </w:pPr>
      <w:r>
        <w:rPr>
          <w:b/>
          <w:i/>
        </w:rPr>
        <w:t>(Objectives and performance indicators must be stated in measurable terms)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80"/>
      </w:tblGrid>
      <w:tr w:rsidR="00007887" w:rsidRPr="00E428A1" w14:paraId="1FF3EF50" w14:textId="77777777" w:rsidTr="005D4C13">
        <w:trPr>
          <w:trHeight w:val="602"/>
          <w:jc w:val="center"/>
        </w:trPr>
        <w:tc>
          <w:tcPr>
            <w:tcW w:w="4680" w:type="dxa"/>
          </w:tcPr>
          <w:p w14:paraId="53A18A75" w14:textId="77777777" w:rsidR="00007887" w:rsidRPr="00E428A1" w:rsidRDefault="00007887">
            <w:pPr>
              <w:rPr>
                <w:b/>
              </w:rPr>
            </w:pPr>
            <w:r w:rsidRPr="00E428A1">
              <w:rPr>
                <w:b/>
              </w:rPr>
              <w:t>1. Name of Institution:</w:t>
            </w:r>
          </w:p>
          <w:p w14:paraId="54596D5B" w14:textId="77777777" w:rsidR="00007887" w:rsidRDefault="00007887">
            <w:pPr>
              <w:rPr>
                <w:b/>
              </w:rPr>
            </w:pPr>
          </w:p>
          <w:p w14:paraId="77498564" w14:textId="7475CF44" w:rsidR="00FD5730" w:rsidRPr="00E428A1" w:rsidRDefault="00FD5730">
            <w:pPr>
              <w:rPr>
                <w:b/>
              </w:rPr>
            </w:pPr>
            <w:r>
              <w:rPr>
                <w:b/>
              </w:rPr>
              <w:t>Albany State University</w:t>
            </w:r>
          </w:p>
        </w:tc>
        <w:tc>
          <w:tcPr>
            <w:tcW w:w="4680" w:type="dxa"/>
          </w:tcPr>
          <w:p w14:paraId="5A8F33D4" w14:textId="77777777" w:rsidR="00007887" w:rsidRDefault="00007887">
            <w:pPr>
              <w:rPr>
                <w:b/>
              </w:rPr>
            </w:pPr>
            <w:r w:rsidRPr="00E428A1">
              <w:rPr>
                <w:b/>
              </w:rPr>
              <w:t xml:space="preserve">2. Activity Title: </w:t>
            </w:r>
          </w:p>
          <w:p w14:paraId="42C43870" w14:textId="77777777" w:rsidR="008D1B66" w:rsidRDefault="008D1B66">
            <w:pPr>
              <w:rPr>
                <w:b/>
              </w:rPr>
            </w:pPr>
          </w:p>
          <w:p w14:paraId="7CB5F427" w14:textId="669D6AB9" w:rsidR="008D1B66" w:rsidRDefault="00FD5730">
            <w:pPr>
              <w:rPr>
                <w:b/>
              </w:rPr>
            </w:pPr>
            <w:r>
              <w:rPr>
                <w:b/>
              </w:rPr>
              <w:t>The Center for Faculty Excellence</w:t>
            </w:r>
          </w:p>
          <w:p w14:paraId="6B6489B5" w14:textId="77777777" w:rsidR="008D1B66" w:rsidRDefault="008D1B66">
            <w:pPr>
              <w:rPr>
                <w:b/>
              </w:rPr>
            </w:pPr>
          </w:p>
          <w:p w14:paraId="0B03C33E" w14:textId="77777777" w:rsidR="008D1B66" w:rsidRPr="00E428A1" w:rsidRDefault="008D1B66">
            <w:pPr>
              <w:rPr>
                <w:b/>
              </w:rPr>
            </w:pPr>
          </w:p>
          <w:p w14:paraId="2A65D6F3" w14:textId="77777777" w:rsidR="00007887" w:rsidRPr="00E428A1" w:rsidRDefault="00007887">
            <w:pPr>
              <w:rPr>
                <w:b/>
              </w:rPr>
            </w:pPr>
            <w:r w:rsidRPr="00E428A1">
              <w:rPr>
                <w:b/>
              </w:rPr>
              <w:t>3. Activity Number: 1 (Title III, Part B)</w:t>
            </w:r>
          </w:p>
        </w:tc>
      </w:tr>
      <w:tr w:rsidR="00007887" w:rsidRPr="00E428A1" w14:paraId="0676B151" w14:textId="77777777" w:rsidTr="00FC2DBC">
        <w:trPr>
          <w:trHeight w:val="584"/>
          <w:jc w:val="center"/>
        </w:trPr>
        <w:tc>
          <w:tcPr>
            <w:tcW w:w="4680" w:type="dxa"/>
            <w:shd w:val="clear" w:color="auto" w:fill="D9D9D9"/>
          </w:tcPr>
          <w:p w14:paraId="6C308B07" w14:textId="77777777" w:rsidR="00007887" w:rsidRPr="008D1B66" w:rsidRDefault="005D4C13" w:rsidP="005D4C13">
            <w:pPr>
              <w:rPr>
                <w:b/>
              </w:rPr>
            </w:pPr>
            <w:r>
              <w:rPr>
                <w:b/>
              </w:rPr>
              <w:t>4. Activity Objective(s)</w:t>
            </w:r>
          </w:p>
        </w:tc>
        <w:tc>
          <w:tcPr>
            <w:tcW w:w="4680" w:type="dxa"/>
            <w:shd w:val="clear" w:color="auto" w:fill="D9D9D9"/>
          </w:tcPr>
          <w:p w14:paraId="1D5289E0" w14:textId="77777777" w:rsidR="00007887" w:rsidRPr="00E428A1" w:rsidRDefault="00007887" w:rsidP="00007887">
            <w:pPr>
              <w:rPr>
                <w:b/>
              </w:rPr>
            </w:pPr>
            <w:r w:rsidRPr="00E428A1">
              <w:rPr>
                <w:b/>
              </w:rPr>
              <w:t>5. Anticipated Results to Measure Success</w:t>
            </w:r>
          </w:p>
          <w:p w14:paraId="02801372" w14:textId="77777777" w:rsidR="008D1B66" w:rsidRPr="005D4C13" w:rsidRDefault="00007887" w:rsidP="008D1B66">
            <w:pPr>
              <w:rPr>
                <w:b/>
              </w:rPr>
            </w:pPr>
            <w:r w:rsidRPr="00E428A1">
              <w:rPr>
                <w:b/>
              </w:rPr>
              <w:t>(Performance Indicators):</w:t>
            </w:r>
          </w:p>
        </w:tc>
      </w:tr>
      <w:tr w:rsidR="008D1B66" w:rsidRPr="00E428A1" w14:paraId="562D8395" w14:textId="77777777" w:rsidTr="005D4C13">
        <w:trPr>
          <w:trHeight w:val="584"/>
          <w:jc w:val="center"/>
        </w:trPr>
        <w:tc>
          <w:tcPr>
            <w:tcW w:w="4680" w:type="dxa"/>
          </w:tcPr>
          <w:p w14:paraId="127D2D0C" w14:textId="77777777" w:rsidR="008D1B66" w:rsidRPr="008D1B66" w:rsidRDefault="008D1B66" w:rsidP="008D1B66">
            <w:pPr>
              <w:rPr>
                <w:b/>
              </w:rPr>
            </w:pPr>
            <w:r w:rsidRPr="008D1B66">
              <w:rPr>
                <w:b/>
              </w:rPr>
              <w:t>Objective 1</w:t>
            </w:r>
            <w:r w:rsidR="005D4C13">
              <w:rPr>
                <w:b/>
              </w:rPr>
              <w:t>:</w:t>
            </w:r>
          </w:p>
          <w:p w14:paraId="1AF0DB3B" w14:textId="64DF55C4" w:rsidR="005D4C13" w:rsidRPr="00FD5730" w:rsidRDefault="00FD5730" w:rsidP="00007887">
            <w:r>
              <w:t>Create and maintain an effective New Faculty Orientation Program (NFOP). This is a powerful tool for integrating faculty into the campus and community culture, as well as for setting high expectations for teaching, service, and scholarship. Successful NFOPs also enhance faculty success in the multi-year tenure and promotion process. Typical NFOPs include two chief components: initial orientation and sustained training.</w:t>
            </w:r>
          </w:p>
          <w:p w14:paraId="25172B12" w14:textId="77777777" w:rsidR="005D4C13" w:rsidRPr="008D1B66" w:rsidRDefault="005D4C13" w:rsidP="00007887">
            <w:pPr>
              <w:rPr>
                <w:b/>
              </w:rPr>
            </w:pPr>
          </w:p>
        </w:tc>
        <w:tc>
          <w:tcPr>
            <w:tcW w:w="4680" w:type="dxa"/>
          </w:tcPr>
          <w:p w14:paraId="04DC13B4" w14:textId="77777777" w:rsidR="008D1B66" w:rsidRDefault="008D1B66" w:rsidP="00007887">
            <w:pPr>
              <w:rPr>
                <w:b/>
              </w:rPr>
            </w:pPr>
            <w:r>
              <w:rPr>
                <w:b/>
              </w:rPr>
              <w:t>Performance Indicator 1:</w:t>
            </w:r>
          </w:p>
          <w:p w14:paraId="09ECA2C8" w14:textId="6B24D55F" w:rsidR="005D4C13" w:rsidRPr="008A67F7" w:rsidRDefault="008A67F7" w:rsidP="002242DA">
            <w:pPr>
              <w:pStyle w:val="ListParagraph"/>
              <w:numPr>
                <w:ilvl w:val="0"/>
                <w:numId w:val="38"/>
              </w:numPr>
            </w:pPr>
            <w:r w:rsidRPr="008A67F7">
              <w:t xml:space="preserve">Evidence of how well new faculty members </w:t>
            </w:r>
            <w:r>
              <w:t>feel welcomed and oriented into the institution</w:t>
            </w:r>
            <w:r w:rsidR="002242DA">
              <w:t xml:space="preserve">. This will be assessed through a survey of new faculty participants at the end of the fall semester, and again, at the end of the academic </w:t>
            </w:r>
            <w:r w:rsidR="00941424">
              <w:t>year.</w:t>
            </w:r>
          </w:p>
        </w:tc>
      </w:tr>
      <w:tr w:rsidR="005D4C13" w:rsidRPr="00E428A1" w14:paraId="02FBB4D0" w14:textId="77777777" w:rsidTr="005D4C13">
        <w:trPr>
          <w:trHeight w:val="584"/>
          <w:jc w:val="center"/>
        </w:trPr>
        <w:tc>
          <w:tcPr>
            <w:tcW w:w="4680" w:type="dxa"/>
          </w:tcPr>
          <w:p w14:paraId="2B1DDC6C" w14:textId="77777777" w:rsidR="005D4C13" w:rsidRPr="008D1B66" w:rsidRDefault="005D4C13" w:rsidP="00FC2DBC">
            <w:pPr>
              <w:rPr>
                <w:b/>
              </w:rPr>
            </w:pPr>
            <w:r>
              <w:rPr>
                <w:b/>
              </w:rPr>
              <w:t>Objective 2:</w:t>
            </w:r>
          </w:p>
          <w:p w14:paraId="56166818" w14:textId="34A4437A" w:rsidR="00FD5730" w:rsidRDefault="00FD5730" w:rsidP="00FD5730">
            <w:r w:rsidRPr="00FD5730">
              <w:t xml:space="preserve">Provide </w:t>
            </w:r>
            <w:r>
              <w:t>effective professional development. Support for the professional development of faculty, especially through enhancing their teaching, is the sole universal amongst CFE’s. The CFE will support faculty innovation and student learning through several key strategies: workshops, access to and support for the Scholarship of Teaching and Learning, instruction in teaching with technology, and a pedagogy newsletter, among other activities.</w:t>
            </w:r>
          </w:p>
          <w:p w14:paraId="7059E3E8" w14:textId="77777777" w:rsidR="005D4C13" w:rsidRPr="008D1B66" w:rsidRDefault="005D4C13" w:rsidP="00FC2DBC">
            <w:pPr>
              <w:rPr>
                <w:b/>
              </w:rPr>
            </w:pPr>
          </w:p>
        </w:tc>
        <w:tc>
          <w:tcPr>
            <w:tcW w:w="4680" w:type="dxa"/>
          </w:tcPr>
          <w:p w14:paraId="438937AA" w14:textId="77777777" w:rsidR="005D4C13" w:rsidRDefault="005D4C13" w:rsidP="00FC2DBC">
            <w:pPr>
              <w:rPr>
                <w:b/>
              </w:rPr>
            </w:pPr>
            <w:r>
              <w:rPr>
                <w:b/>
              </w:rPr>
              <w:t>Performance Indicator 2:</w:t>
            </w:r>
          </w:p>
          <w:p w14:paraId="645A6756" w14:textId="77777777" w:rsidR="005D4C13" w:rsidRPr="00EB15CC" w:rsidRDefault="00FD5730" w:rsidP="00FD5730">
            <w:pPr>
              <w:pStyle w:val="ListParagraph"/>
              <w:numPr>
                <w:ilvl w:val="0"/>
                <w:numId w:val="38"/>
              </w:numPr>
              <w:rPr>
                <w:i/>
              </w:rPr>
            </w:pPr>
            <w:r>
              <w:t>Faculty Fellows will offer at least two workshops in pedagogical areas of expertise and make themselves available for consultation across the campuses.</w:t>
            </w:r>
          </w:p>
          <w:p w14:paraId="7B3B296D" w14:textId="77777777" w:rsidR="00EB15CC" w:rsidRPr="00EB15CC" w:rsidRDefault="00EB15CC" w:rsidP="00FD5730">
            <w:pPr>
              <w:pStyle w:val="ListParagraph"/>
              <w:numPr>
                <w:ilvl w:val="0"/>
                <w:numId w:val="38"/>
              </w:numPr>
              <w:rPr>
                <w:i/>
              </w:rPr>
            </w:pPr>
            <w:r>
              <w:t>Faculty Fellows will redesign a course to maximize innovation and use the most current methods and technologies.</w:t>
            </w:r>
          </w:p>
          <w:p w14:paraId="02293C52" w14:textId="052F9F7D" w:rsidR="00EB15CC" w:rsidRPr="00FD5730" w:rsidRDefault="00EB15CC" w:rsidP="00FD5730">
            <w:pPr>
              <w:pStyle w:val="ListParagraph"/>
              <w:numPr>
                <w:ilvl w:val="0"/>
                <w:numId w:val="38"/>
              </w:numPr>
              <w:rPr>
                <w:i/>
              </w:rPr>
            </w:pPr>
            <w:r>
              <w:t>Each department will name one faculty member to act as a liaison to the CFE. The liaisons will survey the needs of their respective departments and work with the CFE to develop effective professional development activities to address those needs.</w:t>
            </w:r>
          </w:p>
        </w:tc>
      </w:tr>
      <w:tr w:rsidR="005D4C13" w:rsidRPr="00E428A1" w14:paraId="56FB65C2" w14:textId="77777777" w:rsidTr="005D4C13">
        <w:trPr>
          <w:trHeight w:val="584"/>
          <w:jc w:val="center"/>
        </w:trPr>
        <w:tc>
          <w:tcPr>
            <w:tcW w:w="4680" w:type="dxa"/>
          </w:tcPr>
          <w:p w14:paraId="0D544AB0" w14:textId="27B13CFA" w:rsidR="005D4C13" w:rsidRPr="008D1B66" w:rsidRDefault="005D4C13" w:rsidP="00FC2DBC">
            <w:pPr>
              <w:rPr>
                <w:b/>
              </w:rPr>
            </w:pPr>
            <w:r>
              <w:rPr>
                <w:b/>
              </w:rPr>
              <w:t>Objective 3:</w:t>
            </w:r>
          </w:p>
          <w:p w14:paraId="75C1F21C" w14:textId="7B898513" w:rsidR="005D4C13" w:rsidRPr="00FD5730" w:rsidRDefault="00EB15CC" w:rsidP="00FC2DBC">
            <w:r>
              <w:t xml:space="preserve">Provide effective faculty development in support of promotion and tenure. </w:t>
            </w:r>
          </w:p>
          <w:p w14:paraId="2C720CE2" w14:textId="77777777" w:rsidR="005D4C13" w:rsidRDefault="005D4C13" w:rsidP="00FC2DBC">
            <w:pPr>
              <w:rPr>
                <w:b/>
              </w:rPr>
            </w:pPr>
          </w:p>
          <w:p w14:paraId="2E651358" w14:textId="77777777" w:rsidR="005D4C13" w:rsidRPr="008D1B66" w:rsidRDefault="005D4C13" w:rsidP="00FC2DBC">
            <w:pPr>
              <w:rPr>
                <w:b/>
              </w:rPr>
            </w:pPr>
          </w:p>
        </w:tc>
        <w:tc>
          <w:tcPr>
            <w:tcW w:w="4680" w:type="dxa"/>
          </w:tcPr>
          <w:p w14:paraId="76A3D741" w14:textId="77777777" w:rsidR="005D4C13" w:rsidRDefault="005D4C13" w:rsidP="00FC2DBC">
            <w:pPr>
              <w:rPr>
                <w:b/>
              </w:rPr>
            </w:pPr>
            <w:r>
              <w:rPr>
                <w:b/>
              </w:rPr>
              <w:t>Performance Indicator 3:</w:t>
            </w:r>
          </w:p>
          <w:p w14:paraId="7FD864E2" w14:textId="77777777" w:rsidR="00CD5216" w:rsidRDefault="00CD5216" w:rsidP="00CD5216">
            <w:pPr>
              <w:pStyle w:val="ListParagraph"/>
              <w:numPr>
                <w:ilvl w:val="0"/>
                <w:numId w:val="41"/>
              </w:numPr>
            </w:pPr>
            <w:r>
              <w:t>Regular workshops covering all aspects of the process.</w:t>
            </w:r>
          </w:p>
          <w:p w14:paraId="2BA3329B" w14:textId="485D700E" w:rsidR="00CD5216" w:rsidRDefault="00CD5216" w:rsidP="00CD5216">
            <w:pPr>
              <w:pStyle w:val="ListParagraph"/>
              <w:numPr>
                <w:ilvl w:val="0"/>
                <w:numId w:val="42"/>
              </w:numPr>
            </w:pPr>
            <w:r>
              <w:t xml:space="preserve">Faculty mentoring that combines the writing of a professional development </w:t>
            </w:r>
            <w:r>
              <w:lastRenderedPageBreak/>
              <w:t xml:space="preserve">plan with the charting of progression to promotion and tenure. The faculty mentoring program will connect to the NFOP, to tenure and promotion, and to professional development generally. </w:t>
            </w:r>
          </w:p>
          <w:p w14:paraId="2ED92B91" w14:textId="77777777" w:rsidR="00CD5216" w:rsidRDefault="00CD5216" w:rsidP="00CD5216">
            <w:pPr>
              <w:pStyle w:val="ListParagraph"/>
              <w:numPr>
                <w:ilvl w:val="0"/>
                <w:numId w:val="42"/>
              </w:numPr>
            </w:pPr>
            <w:r>
              <w:t xml:space="preserve">Both physically and virtually, the CFE will be the clearinghouse for T&amp;P information (Handbooks, examples, T&amp;P Guidelines, and so forth). </w:t>
            </w:r>
          </w:p>
          <w:p w14:paraId="0685D2FA" w14:textId="4CE4C7F8" w:rsidR="005D4C13" w:rsidRPr="005D4C13" w:rsidRDefault="005D4C13" w:rsidP="00FC2DBC">
            <w:pPr>
              <w:rPr>
                <w:i/>
              </w:rPr>
            </w:pPr>
          </w:p>
        </w:tc>
      </w:tr>
      <w:tr w:rsidR="005D4C13" w:rsidRPr="005D4C13" w14:paraId="0C2BC0F8" w14:textId="77777777" w:rsidTr="005D4C13">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14:paraId="057BB260" w14:textId="77777777" w:rsidR="005D4C13" w:rsidRPr="008D1B66" w:rsidRDefault="005D4C13" w:rsidP="00FC2DBC">
            <w:pPr>
              <w:rPr>
                <w:b/>
              </w:rPr>
            </w:pPr>
            <w:r>
              <w:rPr>
                <w:b/>
              </w:rPr>
              <w:t>Objective 4:</w:t>
            </w:r>
          </w:p>
          <w:p w14:paraId="7576B9C1" w14:textId="06E19564" w:rsidR="005D4C13" w:rsidRPr="00CD5216" w:rsidRDefault="00CD5216" w:rsidP="00FC2DBC">
            <w:r w:rsidRPr="00CD5216">
              <w:t>Offer faculty small grants to support research projects and improvements in pedagogy.</w:t>
            </w:r>
          </w:p>
          <w:p w14:paraId="66C119BF" w14:textId="77777777" w:rsidR="005D4C13" w:rsidRDefault="005D4C13" w:rsidP="00FC2DBC">
            <w:pPr>
              <w:rPr>
                <w:b/>
              </w:rPr>
            </w:pPr>
          </w:p>
          <w:p w14:paraId="19059F50" w14:textId="77777777" w:rsidR="005D4C13" w:rsidRPr="008D1B66" w:rsidRDefault="005D4C13" w:rsidP="00FC2DBC">
            <w:pPr>
              <w:rPr>
                <w:b/>
              </w:rPr>
            </w:pPr>
          </w:p>
        </w:tc>
        <w:tc>
          <w:tcPr>
            <w:tcW w:w="4680" w:type="dxa"/>
            <w:tcBorders>
              <w:top w:val="single" w:sz="4" w:space="0" w:color="000000"/>
              <w:left w:val="single" w:sz="4" w:space="0" w:color="000000"/>
              <w:bottom w:val="single" w:sz="4" w:space="0" w:color="000000"/>
              <w:right w:val="single" w:sz="4" w:space="0" w:color="000000"/>
            </w:tcBorders>
          </w:tcPr>
          <w:p w14:paraId="07BD7B42" w14:textId="77777777" w:rsidR="005D4C13" w:rsidRDefault="005D4C13" w:rsidP="00FC2DBC">
            <w:pPr>
              <w:rPr>
                <w:b/>
              </w:rPr>
            </w:pPr>
            <w:r>
              <w:rPr>
                <w:b/>
              </w:rPr>
              <w:t>Performance Indicator 4:</w:t>
            </w:r>
          </w:p>
          <w:p w14:paraId="7627AF8F" w14:textId="6EF4EBA2" w:rsidR="005D4C13" w:rsidRPr="00473DDE" w:rsidRDefault="002242DA" w:rsidP="00CD5216">
            <w:pPr>
              <w:pStyle w:val="ListParagraph"/>
              <w:numPr>
                <w:ilvl w:val="0"/>
                <w:numId w:val="43"/>
              </w:numPr>
            </w:pPr>
            <w:r>
              <w:t>Participating</w:t>
            </w:r>
            <w:r w:rsidR="00CD5216" w:rsidRPr="00473DDE">
              <w:t xml:space="preserve"> faculty will use mini-grant funds to attend workshops and conferences to enhance pedagogy.</w:t>
            </w:r>
          </w:p>
          <w:p w14:paraId="3256BD51" w14:textId="4396485A" w:rsidR="00CD5216" w:rsidRPr="00473DDE" w:rsidRDefault="002242DA" w:rsidP="00CD5216">
            <w:pPr>
              <w:pStyle w:val="ListParagraph"/>
              <w:numPr>
                <w:ilvl w:val="0"/>
                <w:numId w:val="43"/>
              </w:numPr>
            </w:pPr>
            <w:r>
              <w:t xml:space="preserve">Participating </w:t>
            </w:r>
            <w:r w:rsidR="00CD5216" w:rsidRPr="00473DDE">
              <w:t xml:space="preserve">faculty will use </w:t>
            </w:r>
            <w:r w:rsidR="00473DDE" w:rsidRPr="00473DDE">
              <w:t>mini-grants funds to support research in the scholarship of teaching and learning.</w:t>
            </w:r>
          </w:p>
          <w:p w14:paraId="38993031" w14:textId="18F63B6F" w:rsidR="00473DDE" w:rsidRPr="00473DDE" w:rsidRDefault="002242DA" w:rsidP="00CD5216">
            <w:pPr>
              <w:pStyle w:val="ListParagraph"/>
              <w:numPr>
                <w:ilvl w:val="0"/>
                <w:numId w:val="43"/>
              </w:numPr>
            </w:pPr>
            <w:r>
              <w:t>Participating</w:t>
            </w:r>
            <w:r w:rsidR="00473DDE" w:rsidRPr="00473DDE">
              <w:t xml:space="preserve"> faculty will use mini-grant funds to support applied research.</w:t>
            </w:r>
          </w:p>
          <w:p w14:paraId="0B2E597D" w14:textId="34ABADD8" w:rsidR="00473DDE" w:rsidRPr="00CD5216" w:rsidRDefault="00473DDE" w:rsidP="00473DDE">
            <w:pPr>
              <w:pStyle w:val="ListParagraph"/>
              <w:rPr>
                <w:i/>
              </w:rPr>
            </w:pPr>
          </w:p>
        </w:tc>
      </w:tr>
      <w:tr w:rsidR="005D4C13" w:rsidRPr="005D4C13" w14:paraId="3B63443B" w14:textId="77777777" w:rsidTr="005D4C13">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14:paraId="0596922F" w14:textId="67DA8B29" w:rsidR="005D4C13" w:rsidRPr="008D1B66" w:rsidRDefault="005D4C13" w:rsidP="00FC2DBC">
            <w:pPr>
              <w:rPr>
                <w:b/>
              </w:rPr>
            </w:pPr>
            <w:r>
              <w:rPr>
                <w:b/>
              </w:rPr>
              <w:t>Objective 5:</w:t>
            </w:r>
          </w:p>
          <w:p w14:paraId="7C72CF5D" w14:textId="5CAB7370" w:rsidR="005D4C13" w:rsidRPr="005D4C13" w:rsidRDefault="00473DDE" w:rsidP="00FC2DBC">
            <w:pPr>
              <w:rPr>
                <w:i/>
              </w:rPr>
            </w:pPr>
            <w:r w:rsidRPr="00941424">
              <w:t>The Center will support the recognition of the academic quality of the institution</w:t>
            </w:r>
            <w:r>
              <w:rPr>
                <w:i/>
              </w:rPr>
              <w:t>.</w:t>
            </w:r>
          </w:p>
          <w:p w14:paraId="5B8A2F20" w14:textId="77777777" w:rsidR="005D4C13" w:rsidRDefault="005D4C13" w:rsidP="00FC2DBC">
            <w:pPr>
              <w:rPr>
                <w:b/>
              </w:rPr>
            </w:pPr>
          </w:p>
          <w:p w14:paraId="5F3EC0B4" w14:textId="77777777" w:rsidR="005D4C13" w:rsidRPr="008D1B66" w:rsidRDefault="005D4C13" w:rsidP="00FC2DBC">
            <w:pPr>
              <w:rPr>
                <w:b/>
              </w:rPr>
            </w:pPr>
          </w:p>
        </w:tc>
        <w:tc>
          <w:tcPr>
            <w:tcW w:w="4680" w:type="dxa"/>
            <w:tcBorders>
              <w:top w:val="single" w:sz="4" w:space="0" w:color="000000"/>
              <w:left w:val="single" w:sz="4" w:space="0" w:color="000000"/>
              <w:bottom w:val="single" w:sz="4" w:space="0" w:color="000000"/>
              <w:right w:val="single" w:sz="4" w:space="0" w:color="000000"/>
            </w:tcBorders>
          </w:tcPr>
          <w:p w14:paraId="0573B0AE" w14:textId="77777777" w:rsidR="005D4C13" w:rsidRDefault="005D4C13" w:rsidP="00FC2DBC">
            <w:pPr>
              <w:rPr>
                <w:b/>
              </w:rPr>
            </w:pPr>
            <w:r>
              <w:rPr>
                <w:b/>
              </w:rPr>
              <w:t>Performance Indicator 5:</w:t>
            </w:r>
          </w:p>
          <w:p w14:paraId="424DBD48" w14:textId="505179C7" w:rsidR="005D4C13" w:rsidRPr="00473DDE" w:rsidRDefault="00473DDE" w:rsidP="00473DDE">
            <w:pPr>
              <w:pStyle w:val="ListParagraph"/>
              <w:numPr>
                <w:ilvl w:val="0"/>
                <w:numId w:val="44"/>
              </w:numPr>
            </w:pPr>
            <w:r w:rsidRPr="00473DDE">
              <w:t xml:space="preserve">Each semester, the Center will publish </w:t>
            </w:r>
            <w:r w:rsidRPr="00473DDE">
              <w:rPr>
                <w:i/>
              </w:rPr>
              <w:t>Points of Pride</w:t>
            </w:r>
            <w:r w:rsidRPr="00473DDE">
              <w:t xml:space="preserve"> a magazine highlighting the accomplishments of faculty, staff, and students.</w:t>
            </w:r>
          </w:p>
        </w:tc>
      </w:tr>
    </w:tbl>
    <w:p w14:paraId="6A3D5370" w14:textId="77777777" w:rsidR="00007887" w:rsidRPr="00E428A1" w:rsidRDefault="00007887"/>
    <w:p w14:paraId="4DB6DEE1" w14:textId="77777777" w:rsidR="00007887" w:rsidRPr="00E428A1" w:rsidRDefault="00007887">
      <w:pPr>
        <w:sectPr w:rsidR="00007887" w:rsidRPr="00E428A1">
          <w:headerReference w:type="even"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7"/>
        <w:gridCol w:w="2687"/>
        <w:gridCol w:w="2445"/>
        <w:gridCol w:w="383"/>
        <w:gridCol w:w="1901"/>
        <w:gridCol w:w="512"/>
        <w:gridCol w:w="2015"/>
      </w:tblGrid>
      <w:tr w:rsidR="00007887" w:rsidRPr="00E428A1" w14:paraId="1B19AAD2" w14:textId="77777777" w:rsidTr="00EC0CB6">
        <w:trPr>
          <w:jc w:val="center"/>
        </w:trPr>
        <w:tc>
          <w:tcPr>
            <w:tcW w:w="12900" w:type="dxa"/>
            <w:gridSpan w:val="6"/>
            <w:shd w:val="clear" w:color="auto" w:fill="D9D9D9"/>
          </w:tcPr>
          <w:p w14:paraId="7B914CDB" w14:textId="77777777" w:rsidR="00007887" w:rsidRPr="00E428A1" w:rsidRDefault="00007887">
            <w:pPr>
              <w:pStyle w:val="Heading1"/>
            </w:pPr>
          </w:p>
          <w:p w14:paraId="103E55B6" w14:textId="77777777" w:rsidR="00007887" w:rsidRPr="00E428A1" w:rsidRDefault="00007887" w:rsidP="005D4C13">
            <w:pPr>
              <w:pStyle w:val="Heading1"/>
            </w:pPr>
            <w:r w:rsidRPr="00E428A1">
              <w:t xml:space="preserve">GRANT </w:t>
            </w:r>
            <w:r w:rsidR="005D4C13">
              <w:t>ACTIVITY</w:t>
            </w:r>
            <w:r w:rsidRPr="00E428A1">
              <w:t xml:space="preserve"> FOR THE TITLE III PART B</w:t>
            </w:r>
            <w:r w:rsidR="005D4C13">
              <w:t xml:space="preserve"> OR PART F</w:t>
            </w:r>
            <w:r w:rsidRPr="00E428A1">
              <w:t xml:space="preserve"> PROGRAMS</w:t>
            </w:r>
          </w:p>
        </w:tc>
        <w:tc>
          <w:tcPr>
            <w:tcW w:w="2220" w:type="dxa"/>
            <w:shd w:val="clear" w:color="auto" w:fill="D9D9D9"/>
          </w:tcPr>
          <w:p w14:paraId="426AED2D" w14:textId="77777777" w:rsidR="00007887" w:rsidRPr="00E428A1" w:rsidRDefault="00007887" w:rsidP="005D4C13">
            <w:pPr>
              <w:jc w:val="center"/>
            </w:pPr>
          </w:p>
        </w:tc>
      </w:tr>
      <w:tr w:rsidR="00007887" w:rsidRPr="00E428A1" w14:paraId="2130C486" w14:textId="77777777">
        <w:trPr>
          <w:jc w:val="center"/>
        </w:trPr>
        <w:tc>
          <w:tcPr>
            <w:tcW w:w="15120" w:type="dxa"/>
            <w:gridSpan w:val="7"/>
          </w:tcPr>
          <w:p w14:paraId="42BAFB1A" w14:textId="77777777" w:rsidR="00007887" w:rsidRPr="00E428A1" w:rsidRDefault="00007887">
            <w:pPr>
              <w:jc w:val="center"/>
              <w:rPr>
                <w:sz w:val="22"/>
              </w:rPr>
            </w:pPr>
          </w:p>
          <w:p w14:paraId="1A3FF2DC" w14:textId="77777777" w:rsidR="00007887" w:rsidRPr="005D4C13" w:rsidRDefault="00007887">
            <w:pPr>
              <w:jc w:val="center"/>
              <w:rPr>
                <w:b/>
                <w:sz w:val="22"/>
              </w:rPr>
            </w:pPr>
            <w:r w:rsidRPr="005D4C13">
              <w:rPr>
                <w:b/>
                <w:sz w:val="22"/>
              </w:rPr>
              <w:t>IMPLEMENTATION STRATEGY AND TIMETABLE FORM</w:t>
            </w:r>
          </w:p>
          <w:p w14:paraId="2254904E" w14:textId="77777777" w:rsidR="00007887" w:rsidRPr="00E428A1" w:rsidRDefault="00007887"/>
        </w:tc>
      </w:tr>
      <w:tr w:rsidR="00007887" w:rsidRPr="00E428A1" w14:paraId="73F374B3" w14:textId="77777777">
        <w:trPr>
          <w:jc w:val="center"/>
        </w:trPr>
        <w:tc>
          <w:tcPr>
            <w:tcW w:w="10230" w:type="dxa"/>
            <w:gridSpan w:val="4"/>
          </w:tcPr>
          <w:p w14:paraId="66F00765" w14:textId="77777777" w:rsidR="00007887" w:rsidRDefault="00007887" w:rsidP="005D4C13">
            <w:pPr>
              <w:pStyle w:val="Heading1"/>
              <w:numPr>
                <w:ilvl w:val="0"/>
                <w:numId w:val="31"/>
              </w:numPr>
              <w:jc w:val="left"/>
            </w:pPr>
            <w:r w:rsidRPr="00E428A1">
              <w:t xml:space="preserve">NAME OF </w:t>
            </w:r>
            <w:r w:rsidR="005D4C13">
              <w:t>ACTIVITY COORDINATOR AND OFFICE</w:t>
            </w:r>
            <w:r w:rsidRPr="00E428A1">
              <w:t>:</w:t>
            </w:r>
          </w:p>
          <w:p w14:paraId="215888CE" w14:textId="77777777" w:rsidR="005D4C13" w:rsidRPr="005D4C13" w:rsidRDefault="005D4C13" w:rsidP="005475FA">
            <w:r w:rsidRPr="005D4C13">
              <w:rPr>
                <w:i/>
              </w:rPr>
              <w:t xml:space="preserve">Enter </w:t>
            </w:r>
            <w:r w:rsidR="00ED253A">
              <w:rPr>
                <w:i/>
              </w:rPr>
              <w:t>here</w:t>
            </w:r>
          </w:p>
        </w:tc>
        <w:tc>
          <w:tcPr>
            <w:tcW w:w="4890" w:type="dxa"/>
            <w:gridSpan w:val="3"/>
          </w:tcPr>
          <w:p w14:paraId="5C851BE1" w14:textId="77777777" w:rsidR="00ED253A" w:rsidRDefault="00007887" w:rsidP="005D4C13">
            <w:pPr>
              <w:rPr>
                <w:b/>
                <w:bCs/>
              </w:rPr>
            </w:pPr>
            <w:r w:rsidRPr="00E428A1">
              <w:rPr>
                <w:b/>
                <w:bCs/>
              </w:rPr>
              <w:t xml:space="preserve">2. Activity Title: </w:t>
            </w:r>
            <w:r w:rsidR="00ED253A">
              <w:rPr>
                <w:b/>
                <w:bCs/>
              </w:rPr>
              <w:t xml:space="preserve"> </w:t>
            </w:r>
          </w:p>
          <w:p w14:paraId="798B66CB" w14:textId="77777777" w:rsidR="00007887" w:rsidRPr="005D4C13" w:rsidRDefault="005D4C13" w:rsidP="005D4C13">
            <w:pPr>
              <w:rPr>
                <w:i/>
              </w:rPr>
            </w:pPr>
            <w:r>
              <w:rPr>
                <w:i/>
              </w:rPr>
              <w:t>Enter Activity Title</w:t>
            </w:r>
          </w:p>
        </w:tc>
      </w:tr>
      <w:tr w:rsidR="00007887" w:rsidRPr="00E428A1" w14:paraId="213CE5C9" w14:textId="77777777">
        <w:trPr>
          <w:jc w:val="center"/>
        </w:trPr>
        <w:tc>
          <w:tcPr>
            <w:tcW w:w="4140" w:type="dxa"/>
            <w:tcBorders>
              <w:bottom w:val="single" w:sz="4" w:space="0" w:color="auto"/>
            </w:tcBorders>
          </w:tcPr>
          <w:p w14:paraId="5DD0FA13" w14:textId="77777777" w:rsidR="00007887" w:rsidRPr="00E428A1" w:rsidRDefault="00007887" w:rsidP="00007887">
            <w:pPr>
              <w:rPr>
                <w:b/>
                <w:sz w:val="20"/>
              </w:rPr>
            </w:pPr>
            <w:r w:rsidRPr="00E428A1">
              <w:rPr>
                <w:b/>
              </w:rPr>
              <w:t>3.</w:t>
            </w:r>
            <w:r w:rsidRPr="00E428A1">
              <w:rPr>
                <w:b/>
                <w:sz w:val="20"/>
              </w:rPr>
              <w:t xml:space="preserve"> SPECIFIC TASKS TO BE </w:t>
            </w:r>
            <w:r w:rsidRPr="00E428A1">
              <w:rPr>
                <w:b/>
                <w:bCs/>
                <w:sz w:val="20"/>
              </w:rPr>
              <w:t>COMPLETED</w:t>
            </w:r>
          </w:p>
        </w:tc>
        <w:tc>
          <w:tcPr>
            <w:tcW w:w="2970" w:type="dxa"/>
            <w:tcBorders>
              <w:bottom w:val="single" w:sz="4" w:space="0" w:color="auto"/>
            </w:tcBorders>
          </w:tcPr>
          <w:p w14:paraId="35169F44" w14:textId="77777777" w:rsidR="00007887" w:rsidRPr="00E428A1" w:rsidRDefault="00007887" w:rsidP="00007887">
            <w:pPr>
              <w:rPr>
                <w:b/>
                <w:sz w:val="20"/>
              </w:rPr>
            </w:pPr>
            <w:r w:rsidRPr="00E428A1">
              <w:rPr>
                <w:b/>
              </w:rPr>
              <w:t>4.</w:t>
            </w:r>
            <w:r w:rsidRPr="00E428A1">
              <w:rPr>
                <w:b/>
                <w:sz w:val="20"/>
              </w:rPr>
              <w:t xml:space="preserve"> PRIMARY PARTICIPANTS</w:t>
            </w:r>
          </w:p>
        </w:tc>
        <w:tc>
          <w:tcPr>
            <w:tcW w:w="2700" w:type="dxa"/>
            <w:tcBorders>
              <w:bottom w:val="single" w:sz="4" w:space="0" w:color="auto"/>
            </w:tcBorders>
          </w:tcPr>
          <w:p w14:paraId="3FE8D0EA" w14:textId="77777777" w:rsidR="00007887" w:rsidRPr="00E428A1" w:rsidRDefault="00007887">
            <w:pPr>
              <w:rPr>
                <w:b/>
                <w:sz w:val="20"/>
              </w:rPr>
            </w:pPr>
            <w:r w:rsidRPr="00E428A1">
              <w:rPr>
                <w:b/>
              </w:rPr>
              <w:t>5.</w:t>
            </w:r>
            <w:r w:rsidRPr="00E428A1">
              <w:rPr>
                <w:b/>
                <w:sz w:val="20"/>
              </w:rPr>
              <w:t xml:space="preserve"> METHODS INVOLVED</w:t>
            </w:r>
          </w:p>
        </w:tc>
        <w:tc>
          <w:tcPr>
            <w:tcW w:w="2520" w:type="dxa"/>
            <w:gridSpan w:val="2"/>
            <w:tcBorders>
              <w:bottom w:val="single" w:sz="4" w:space="0" w:color="auto"/>
            </w:tcBorders>
          </w:tcPr>
          <w:p w14:paraId="61A37959" w14:textId="77777777" w:rsidR="00007887" w:rsidRPr="00E428A1" w:rsidRDefault="00007887">
            <w:pPr>
              <w:rPr>
                <w:b/>
                <w:sz w:val="20"/>
              </w:rPr>
            </w:pPr>
            <w:r w:rsidRPr="00E428A1">
              <w:rPr>
                <w:b/>
              </w:rPr>
              <w:t>6.</w:t>
            </w:r>
            <w:r w:rsidRPr="00E428A1">
              <w:rPr>
                <w:b/>
                <w:sz w:val="20"/>
              </w:rPr>
              <w:t xml:space="preserve"> TANGIBLE RESULTS </w:t>
            </w:r>
          </w:p>
        </w:tc>
        <w:tc>
          <w:tcPr>
            <w:tcW w:w="2790" w:type="dxa"/>
            <w:gridSpan w:val="2"/>
            <w:tcBorders>
              <w:bottom w:val="single" w:sz="4" w:space="0" w:color="auto"/>
            </w:tcBorders>
          </w:tcPr>
          <w:p w14:paraId="57732B17" w14:textId="77777777" w:rsidR="00007887" w:rsidRPr="00E428A1" w:rsidRDefault="00007887">
            <w:pPr>
              <w:rPr>
                <w:b/>
                <w:sz w:val="20"/>
              </w:rPr>
            </w:pPr>
            <w:r w:rsidRPr="00E428A1">
              <w:rPr>
                <w:b/>
              </w:rPr>
              <w:t>7.</w:t>
            </w:r>
            <w:r w:rsidRPr="00E428A1">
              <w:rPr>
                <w:b/>
                <w:sz w:val="20"/>
              </w:rPr>
              <w:t xml:space="preserve"> </w:t>
            </w:r>
            <w:r w:rsidRPr="00E428A1">
              <w:rPr>
                <w:b/>
                <w:caps/>
                <w:sz w:val="20"/>
              </w:rPr>
              <w:t>time</w:t>
            </w:r>
            <w:r w:rsidRPr="00E428A1">
              <w:rPr>
                <w:b/>
                <w:sz w:val="20"/>
              </w:rPr>
              <w:t xml:space="preserve">FRAME    </w:t>
            </w:r>
          </w:p>
          <w:p w14:paraId="7848F070" w14:textId="77777777" w:rsidR="00007887" w:rsidRPr="00E428A1" w:rsidRDefault="00007887">
            <w:pPr>
              <w:rPr>
                <w:b/>
                <w:sz w:val="20"/>
              </w:rPr>
            </w:pPr>
            <w:r w:rsidRPr="00E428A1">
              <w:rPr>
                <w:b/>
                <w:sz w:val="20"/>
              </w:rPr>
              <w:t xml:space="preserve">     FROM/TO</w:t>
            </w:r>
          </w:p>
        </w:tc>
      </w:tr>
      <w:tr w:rsidR="00007887" w:rsidRPr="00E428A1" w14:paraId="1621B4B8"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3848157B" w14:textId="419A3933" w:rsidR="00007887" w:rsidRPr="00E428A1" w:rsidRDefault="00007887" w:rsidP="00007887">
            <w:r w:rsidRPr="00E428A1">
              <w:t xml:space="preserve">1.1 </w:t>
            </w:r>
            <w:r w:rsidR="00772707">
              <w:t xml:space="preserve">Provide a minimum of five (5) faculty professional development workshops </w:t>
            </w:r>
            <w:r w:rsidR="00772707">
              <w:t>per year.</w:t>
            </w:r>
          </w:p>
        </w:tc>
        <w:tc>
          <w:tcPr>
            <w:tcW w:w="2970" w:type="dxa"/>
            <w:tcBorders>
              <w:top w:val="single" w:sz="4" w:space="0" w:color="auto"/>
              <w:left w:val="single" w:sz="4" w:space="0" w:color="auto"/>
              <w:bottom w:val="single" w:sz="4" w:space="0" w:color="auto"/>
              <w:right w:val="single" w:sz="4" w:space="0" w:color="auto"/>
            </w:tcBorders>
          </w:tcPr>
          <w:p w14:paraId="406CD1C5" w14:textId="1ED210B8" w:rsidR="00007887" w:rsidRPr="00772707" w:rsidRDefault="003D437A" w:rsidP="00007887">
            <w:r w:rsidRPr="00772707">
              <w:t xml:space="preserve">Faculty and </w:t>
            </w:r>
            <w:r w:rsidR="00007887" w:rsidRPr="00772707">
              <w:t>Department Chairs and faculty</w:t>
            </w:r>
          </w:p>
        </w:tc>
        <w:tc>
          <w:tcPr>
            <w:tcW w:w="2700" w:type="dxa"/>
            <w:tcBorders>
              <w:top w:val="single" w:sz="4" w:space="0" w:color="auto"/>
              <w:left w:val="single" w:sz="4" w:space="0" w:color="auto"/>
              <w:bottom w:val="single" w:sz="4" w:space="0" w:color="auto"/>
              <w:right w:val="single" w:sz="4" w:space="0" w:color="auto"/>
            </w:tcBorders>
          </w:tcPr>
          <w:p w14:paraId="29B85459" w14:textId="3A5AFA28" w:rsidR="00007887" w:rsidRPr="00772707" w:rsidRDefault="00007887" w:rsidP="005475FA">
            <w:r w:rsidRPr="00772707">
              <w:t>Establish a schedule of workshops to enhance the effectiveness of teaching and learning in courses.</w:t>
            </w:r>
          </w:p>
        </w:tc>
        <w:tc>
          <w:tcPr>
            <w:tcW w:w="2520" w:type="dxa"/>
            <w:gridSpan w:val="2"/>
            <w:tcBorders>
              <w:top w:val="single" w:sz="4" w:space="0" w:color="auto"/>
              <w:left w:val="single" w:sz="4" w:space="0" w:color="auto"/>
              <w:bottom w:val="single" w:sz="4" w:space="0" w:color="auto"/>
              <w:right w:val="single" w:sz="4" w:space="0" w:color="auto"/>
            </w:tcBorders>
          </w:tcPr>
          <w:p w14:paraId="1F88B5BF" w14:textId="7FA22F01" w:rsidR="00007887" w:rsidRPr="00772707" w:rsidRDefault="00ED253A" w:rsidP="00007887">
            <w:r w:rsidRPr="00ED253A">
              <w:rPr>
                <w:i/>
              </w:rPr>
              <w:t xml:space="preserve"> </w:t>
            </w:r>
            <w:r w:rsidR="00007887" w:rsidRPr="00772707">
              <w:t>An increase in the university’s course completion, retention and graduation rates</w:t>
            </w:r>
            <w:r w:rsidR="00834E58">
              <w:t>.</w:t>
            </w:r>
          </w:p>
          <w:p w14:paraId="5AB12AF0" w14:textId="77777777" w:rsidR="00007887" w:rsidRPr="00E428A1" w:rsidRDefault="00007887" w:rsidP="00007887"/>
        </w:tc>
        <w:tc>
          <w:tcPr>
            <w:tcW w:w="2790" w:type="dxa"/>
            <w:gridSpan w:val="2"/>
            <w:tcBorders>
              <w:top w:val="single" w:sz="4" w:space="0" w:color="auto"/>
              <w:left w:val="single" w:sz="4" w:space="0" w:color="auto"/>
              <w:bottom w:val="single" w:sz="4" w:space="0" w:color="auto"/>
              <w:right w:val="single" w:sz="4" w:space="0" w:color="auto"/>
            </w:tcBorders>
          </w:tcPr>
          <w:p w14:paraId="59C92F20" w14:textId="6ADBF379" w:rsidR="00007887" w:rsidRPr="00772707" w:rsidRDefault="003D437A" w:rsidP="005475FA">
            <w:r w:rsidRPr="00772707">
              <w:t>10/01/2017-09/30/2018</w:t>
            </w:r>
          </w:p>
        </w:tc>
      </w:tr>
      <w:tr w:rsidR="00007887" w:rsidRPr="00E428A1" w14:paraId="6BE162B7"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261EC55F" w14:textId="08B0FF05" w:rsidR="00007887" w:rsidRDefault="00007887" w:rsidP="00ED253A">
            <w:r w:rsidRPr="00E428A1">
              <w:t xml:space="preserve">2.1 </w:t>
            </w:r>
            <w:r w:rsidR="008D443D">
              <w:t>Conduct orientation for new faculty in Fall of 2017</w:t>
            </w:r>
          </w:p>
          <w:p w14:paraId="05868EC7" w14:textId="77777777" w:rsidR="00ED253A" w:rsidRDefault="00ED253A" w:rsidP="00ED253A"/>
          <w:p w14:paraId="162023CA" w14:textId="77777777" w:rsidR="00ED253A" w:rsidRPr="00E428A1" w:rsidRDefault="00ED253A" w:rsidP="00ED253A"/>
        </w:tc>
        <w:tc>
          <w:tcPr>
            <w:tcW w:w="2970" w:type="dxa"/>
            <w:tcBorders>
              <w:top w:val="single" w:sz="4" w:space="0" w:color="auto"/>
              <w:left w:val="single" w:sz="4" w:space="0" w:color="auto"/>
              <w:bottom w:val="single" w:sz="4" w:space="0" w:color="auto"/>
              <w:right w:val="single" w:sz="4" w:space="0" w:color="auto"/>
            </w:tcBorders>
          </w:tcPr>
          <w:p w14:paraId="6A09B866" w14:textId="475C35D6" w:rsidR="00007887" w:rsidRPr="00E428A1" w:rsidRDefault="00971679" w:rsidP="00007887">
            <w:r>
              <w:t>New full time and adjunct faculty members</w:t>
            </w:r>
          </w:p>
          <w:p w14:paraId="11F40DDB" w14:textId="77777777" w:rsidR="00007887" w:rsidRDefault="00007887" w:rsidP="00007887"/>
          <w:p w14:paraId="5AC43424" w14:textId="77777777" w:rsidR="00ED253A" w:rsidRPr="00E428A1" w:rsidRDefault="00ED253A" w:rsidP="00007887"/>
        </w:tc>
        <w:tc>
          <w:tcPr>
            <w:tcW w:w="2700" w:type="dxa"/>
            <w:tcBorders>
              <w:top w:val="single" w:sz="4" w:space="0" w:color="auto"/>
              <w:left w:val="single" w:sz="4" w:space="0" w:color="auto"/>
              <w:bottom w:val="single" w:sz="4" w:space="0" w:color="auto"/>
              <w:right w:val="single" w:sz="4" w:space="0" w:color="auto"/>
            </w:tcBorders>
          </w:tcPr>
          <w:p w14:paraId="34114203" w14:textId="77777777" w:rsidR="00007887" w:rsidRDefault="00007887" w:rsidP="00007887"/>
          <w:p w14:paraId="77255D97" w14:textId="30AB0E6F" w:rsidR="00834E58" w:rsidRDefault="00941424" w:rsidP="00007887">
            <w:r>
              <w:t xml:space="preserve">The orientation will be conducted over a period of </w:t>
            </w:r>
            <w:r w:rsidR="00834E58">
              <w:t xml:space="preserve">one week, and will include orientation to the city of Albany. </w:t>
            </w:r>
            <w:r>
              <w:t xml:space="preserve"> </w:t>
            </w:r>
            <w:r w:rsidR="00834E58">
              <w:t xml:space="preserve">Faculty will </w:t>
            </w:r>
            <w:r>
              <w:t xml:space="preserve">be introduced to </w:t>
            </w:r>
            <w:r w:rsidR="00834E58">
              <w:t>university policies and processes, to campus technologies, tenure and promotion policies.</w:t>
            </w:r>
          </w:p>
          <w:p w14:paraId="468B1F03" w14:textId="77777777" w:rsidR="00ED253A" w:rsidRPr="00E428A1" w:rsidRDefault="00ED253A" w:rsidP="00834E58"/>
        </w:tc>
        <w:tc>
          <w:tcPr>
            <w:tcW w:w="2520" w:type="dxa"/>
            <w:gridSpan w:val="2"/>
            <w:tcBorders>
              <w:top w:val="single" w:sz="4" w:space="0" w:color="auto"/>
              <w:left w:val="single" w:sz="4" w:space="0" w:color="auto"/>
              <w:bottom w:val="single" w:sz="4" w:space="0" w:color="auto"/>
              <w:right w:val="single" w:sz="4" w:space="0" w:color="auto"/>
            </w:tcBorders>
          </w:tcPr>
          <w:p w14:paraId="62318656" w14:textId="77777777" w:rsidR="00007887" w:rsidRPr="00E428A1" w:rsidRDefault="00007887" w:rsidP="00007887"/>
          <w:p w14:paraId="20FB7FB0" w14:textId="4AFDCADA" w:rsidR="00007887" w:rsidRDefault="00834E58" w:rsidP="00007887">
            <w:r>
              <w:t>100% participation of new faculty (full time and adjunct) in the orientation.</w:t>
            </w:r>
          </w:p>
          <w:p w14:paraId="6B5E52BC" w14:textId="77777777" w:rsidR="00ED253A" w:rsidRPr="00E428A1" w:rsidRDefault="00ED253A" w:rsidP="00007887"/>
        </w:tc>
        <w:tc>
          <w:tcPr>
            <w:tcW w:w="2790" w:type="dxa"/>
            <w:gridSpan w:val="2"/>
            <w:tcBorders>
              <w:top w:val="single" w:sz="4" w:space="0" w:color="auto"/>
              <w:left w:val="single" w:sz="4" w:space="0" w:color="auto"/>
              <w:bottom w:val="single" w:sz="4" w:space="0" w:color="auto"/>
              <w:right w:val="single" w:sz="4" w:space="0" w:color="auto"/>
            </w:tcBorders>
          </w:tcPr>
          <w:p w14:paraId="1C98E14C" w14:textId="77777777" w:rsidR="00007887" w:rsidRDefault="00007887" w:rsidP="00007887"/>
          <w:p w14:paraId="3007E2C6" w14:textId="40BDED40" w:rsidR="00ED253A" w:rsidRPr="00E428A1" w:rsidRDefault="008D443D" w:rsidP="00007887">
            <w:r w:rsidRPr="00772707">
              <w:t>10/01/2017-09/30/2018</w:t>
            </w:r>
          </w:p>
          <w:p w14:paraId="39938851" w14:textId="77777777" w:rsidR="00007887" w:rsidRPr="00E428A1" w:rsidRDefault="00007887" w:rsidP="00007887"/>
        </w:tc>
      </w:tr>
      <w:tr w:rsidR="00007887" w:rsidRPr="00E428A1" w14:paraId="36D45EBA"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4094F7C6" w14:textId="6F84706D" w:rsidR="00007887" w:rsidRDefault="00007887" w:rsidP="00ED253A">
            <w:r w:rsidRPr="00E428A1">
              <w:t xml:space="preserve">3.1 </w:t>
            </w:r>
          </w:p>
          <w:p w14:paraId="2DF232FC" w14:textId="09340583" w:rsidR="00ED253A" w:rsidRDefault="008D443D" w:rsidP="00ED253A">
            <w:r>
              <w:t>Initiate a mentor-match program of junior faculty with senior faculty members</w:t>
            </w:r>
          </w:p>
          <w:p w14:paraId="3F9AAF09" w14:textId="77777777" w:rsidR="00ED253A" w:rsidRPr="00E428A1" w:rsidRDefault="00ED253A" w:rsidP="00ED253A"/>
        </w:tc>
        <w:tc>
          <w:tcPr>
            <w:tcW w:w="2970" w:type="dxa"/>
            <w:tcBorders>
              <w:top w:val="single" w:sz="4" w:space="0" w:color="auto"/>
              <w:left w:val="single" w:sz="4" w:space="0" w:color="auto"/>
              <w:bottom w:val="single" w:sz="4" w:space="0" w:color="auto"/>
              <w:right w:val="single" w:sz="4" w:space="0" w:color="auto"/>
            </w:tcBorders>
          </w:tcPr>
          <w:p w14:paraId="2C39BCAB" w14:textId="77777777" w:rsidR="00007887" w:rsidRDefault="00007887" w:rsidP="00007887"/>
          <w:p w14:paraId="3E07C224" w14:textId="5A88A62F" w:rsidR="00ED253A" w:rsidRDefault="00971679" w:rsidP="00007887">
            <w:r>
              <w:t>Junior and senior faculty; department chairs</w:t>
            </w:r>
          </w:p>
          <w:p w14:paraId="4AAFA6A2" w14:textId="77777777" w:rsidR="00ED253A" w:rsidRPr="00E428A1" w:rsidRDefault="00ED253A" w:rsidP="00007887"/>
        </w:tc>
        <w:tc>
          <w:tcPr>
            <w:tcW w:w="2700" w:type="dxa"/>
            <w:tcBorders>
              <w:top w:val="single" w:sz="4" w:space="0" w:color="auto"/>
              <w:left w:val="single" w:sz="4" w:space="0" w:color="auto"/>
              <w:bottom w:val="single" w:sz="4" w:space="0" w:color="auto"/>
              <w:right w:val="single" w:sz="4" w:space="0" w:color="auto"/>
            </w:tcBorders>
          </w:tcPr>
          <w:p w14:paraId="4F988099" w14:textId="77777777" w:rsidR="00007887" w:rsidRDefault="00007887" w:rsidP="00007887"/>
          <w:p w14:paraId="288A4F11" w14:textId="183D3836" w:rsidR="00ED253A" w:rsidRDefault="00834E58" w:rsidP="00007887">
            <w:r>
              <w:t xml:space="preserve">Establish a mentoring program that would match junior faculty with senior faculty. </w:t>
            </w:r>
          </w:p>
          <w:p w14:paraId="5D07FEB7" w14:textId="77777777" w:rsidR="00ED253A" w:rsidRPr="00E428A1" w:rsidRDefault="00ED253A" w:rsidP="00007887"/>
        </w:tc>
        <w:tc>
          <w:tcPr>
            <w:tcW w:w="2520" w:type="dxa"/>
            <w:gridSpan w:val="2"/>
            <w:tcBorders>
              <w:top w:val="single" w:sz="4" w:space="0" w:color="auto"/>
              <w:left w:val="single" w:sz="4" w:space="0" w:color="auto"/>
              <w:bottom w:val="single" w:sz="4" w:space="0" w:color="auto"/>
              <w:right w:val="single" w:sz="4" w:space="0" w:color="auto"/>
            </w:tcBorders>
          </w:tcPr>
          <w:p w14:paraId="16C38D85" w14:textId="77777777" w:rsidR="00ED253A" w:rsidRDefault="00ED253A" w:rsidP="00007887"/>
          <w:p w14:paraId="6718F564" w14:textId="77777777" w:rsidR="00ED253A" w:rsidRDefault="00ED253A" w:rsidP="00007887"/>
          <w:p w14:paraId="438AE182" w14:textId="77777777" w:rsidR="00007887" w:rsidRPr="00E428A1" w:rsidRDefault="00007887" w:rsidP="00007887"/>
        </w:tc>
        <w:tc>
          <w:tcPr>
            <w:tcW w:w="2790" w:type="dxa"/>
            <w:gridSpan w:val="2"/>
            <w:tcBorders>
              <w:top w:val="single" w:sz="4" w:space="0" w:color="auto"/>
              <w:left w:val="single" w:sz="4" w:space="0" w:color="auto"/>
              <w:bottom w:val="single" w:sz="4" w:space="0" w:color="auto"/>
              <w:right w:val="single" w:sz="4" w:space="0" w:color="auto"/>
            </w:tcBorders>
          </w:tcPr>
          <w:p w14:paraId="41FA0C72" w14:textId="77777777" w:rsidR="00007887" w:rsidRDefault="00007887" w:rsidP="00007887"/>
          <w:p w14:paraId="30BC518C" w14:textId="16F1AB0B" w:rsidR="00ED253A" w:rsidRDefault="008D443D" w:rsidP="00007887">
            <w:r w:rsidRPr="00772707">
              <w:t>10/01/2017-09/30/2018</w:t>
            </w:r>
          </w:p>
          <w:p w14:paraId="4391436C" w14:textId="77777777" w:rsidR="00007887" w:rsidRPr="00E428A1" w:rsidRDefault="00007887" w:rsidP="00007887"/>
        </w:tc>
      </w:tr>
      <w:tr w:rsidR="00007887" w:rsidRPr="00E428A1" w14:paraId="72BA4B61"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0C42CCE8" w14:textId="42F63C46" w:rsidR="00007887" w:rsidRDefault="00007887" w:rsidP="00ED253A">
            <w:r w:rsidRPr="00E428A1">
              <w:t xml:space="preserve">4.1 </w:t>
            </w:r>
            <w:r w:rsidR="008D443D">
              <w:t>Schedule workshops for pre-tenure, tenure and promotion, and post tenure</w:t>
            </w:r>
          </w:p>
          <w:p w14:paraId="79BB90C2" w14:textId="77777777" w:rsidR="00ED253A" w:rsidRDefault="00ED253A" w:rsidP="00ED253A"/>
          <w:p w14:paraId="2BAD5053" w14:textId="77777777" w:rsidR="00ED253A" w:rsidRPr="00E428A1" w:rsidRDefault="00ED253A" w:rsidP="00ED253A"/>
        </w:tc>
        <w:tc>
          <w:tcPr>
            <w:tcW w:w="2970" w:type="dxa"/>
            <w:tcBorders>
              <w:top w:val="single" w:sz="4" w:space="0" w:color="auto"/>
              <w:left w:val="single" w:sz="4" w:space="0" w:color="auto"/>
              <w:bottom w:val="single" w:sz="4" w:space="0" w:color="auto"/>
              <w:right w:val="single" w:sz="4" w:space="0" w:color="auto"/>
            </w:tcBorders>
          </w:tcPr>
          <w:p w14:paraId="32EF3EB8" w14:textId="77777777" w:rsidR="00007887" w:rsidRDefault="00007887" w:rsidP="00007887"/>
          <w:p w14:paraId="1F45E606" w14:textId="28DFD7DC" w:rsidR="00ED253A" w:rsidRDefault="008D443D" w:rsidP="00007887">
            <w:r>
              <w:t>Faculty eligible for pre-tenure, tenure, promotion, and post-tenure</w:t>
            </w:r>
          </w:p>
          <w:p w14:paraId="57962B1A" w14:textId="77777777" w:rsidR="00ED253A" w:rsidRPr="00E428A1" w:rsidRDefault="00ED253A" w:rsidP="00007887"/>
        </w:tc>
        <w:tc>
          <w:tcPr>
            <w:tcW w:w="2700" w:type="dxa"/>
            <w:tcBorders>
              <w:top w:val="single" w:sz="4" w:space="0" w:color="auto"/>
              <w:left w:val="single" w:sz="4" w:space="0" w:color="auto"/>
              <w:bottom w:val="single" w:sz="4" w:space="0" w:color="auto"/>
              <w:right w:val="single" w:sz="4" w:space="0" w:color="auto"/>
            </w:tcBorders>
          </w:tcPr>
          <w:p w14:paraId="370063C1" w14:textId="77777777" w:rsidR="00007887" w:rsidRDefault="00007887" w:rsidP="00007887"/>
          <w:p w14:paraId="24FFBEC1" w14:textId="6F357A06" w:rsidR="00ED253A" w:rsidRDefault="008D443D" w:rsidP="00007887">
            <w:r w:rsidRPr="00772707">
              <w:t xml:space="preserve">Establish a schedule of workshops </w:t>
            </w:r>
            <w:r>
              <w:t>to appropriately prepare faculty for these respective steps in their academic career.</w:t>
            </w:r>
          </w:p>
          <w:p w14:paraId="0245AB36" w14:textId="77777777" w:rsidR="00ED253A" w:rsidRPr="00E428A1" w:rsidRDefault="00ED253A" w:rsidP="00007887"/>
        </w:tc>
        <w:tc>
          <w:tcPr>
            <w:tcW w:w="2520" w:type="dxa"/>
            <w:gridSpan w:val="2"/>
            <w:tcBorders>
              <w:top w:val="single" w:sz="4" w:space="0" w:color="auto"/>
              <w:left w:val="single" w:sz="4" w:space="0" w:color="auto"/>
              <w:bottom w:val="single" w:sz="4" w:space="0" w:color="auto"/>
              <w:right w:val="single" w:sz="4" w:space="0" w:color="auto"/>
            </w:tcBorders>
          </w:tcPr>
          <w:p w14:paraId="45C5F9D4" w14:textId="77777777" w:rsidR="00007887" w:rsidRDefault="00007887" w:rsidP="00007887"/>
          <w:p w14:paraId="570E113C" w14:textId="2AF5708D" w:rsidR="00ED253A" w:rsidRDefault="00CD1F70" w:rsidP="00007887">
            <w:r>
              <w:t>100% participation of by all eligible faculty members</w:t>
            </w:r>
            <w:r w:rsidR="008D443D">
              <w:t xml:space="preserve"> </w:t>
            </w:r>
          </w:p>
          <w:p w14:paraId="51B805C2" w14:textId="77777777" w:rsidR="00ED253A" w:rsidRPr="00E428A1" w:rsidRDefault="00ED253A" w:rsidP="00007887"/>
        </w:tc>
        <w:tc>
          <w:tcPr>
            <w:tcW w:w="2790" w:type="dxa"/>
            <w:gridSpan w:val="2"/>
            <w:tcBorders>
              <w:top w:val="single" w:sz="4" w:space="0" w:color="auto"/>
              <w:left w:val="single" w:sz="4" w:space="0" w:color="auto"/>
              <w:bottom w:val="single" w:sz="4" w:space="0" w:color="auto"/>
              <w:right w:val="single" w:sz="4" w:space="0" w:color="auto"/>
            </w:tcBorders>
          </w:tcPr>
          <w:p w14:paraId="1BC1D0F3" w14:textId="77777777" w:rsidR="00007887" w:rsidRDefault="00007887" w:rsidP="00007887"/>
          <w:p w14:paraId="7579BC36" w14:textId="77777777" w:rsidR="00ED253A" w:rsidRDefault="00ED253A" w:rsidP="00007887"/>
          <w:p w14:paraId="5A365DD3" w14:textId="78900EA3" w:rsidR="00ED253A" w:rsidRPr="00E428A1" w:rsidRDefault="008D443D" w:rsidP="00007887">
            <w:r w:rsidRPr="00772707">
              <w:t>10/01/2017-09/30/2018</w:t>
            </w:r>
          </w:p>
        </w:tc>
      </w:tr>
      <w:tr w:rsidR="00007887" w:rsidRPr="00E428A1" w14:paraId="2E473E69"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6FEABF5F" w14:textId="223C9CC4" w:rsidR="00ED253A" w:rsidRDefault="00007887" w:rsidP="00ED253A">
            <w:r w:rsidRPr="00E428A1">
              <w:t xml:space="preserve">4.2 </w:t>
            </w:r>
            <w:r w:rsidR="00941424" w:rsidRPr="00CD5216">
              <w:t>Offer faculty small grants to support research projects and improvements in pedagogy</w:t>
            </w:r>
          </w:p>
          <w:p w14:paraId="1BBC9886" w14:textId="77777777" w:rsidR="00ED253A" w:rsidRDefault="00ED253A" w:rsidP="00ED253A"/>
          <w:p w14:paraId="2D340DA5" w14:textId="77777777" w:rsidR="00007887" w:rsidRPr="00E428A1" w:rsidRDefault="00007887" w:rsidP="00ED253A"/>
        </w:tc>
        <w:tc>
          <w:tcPr>
            <w:tcW w:w="2970" w:type="dxa"/>
            <w:tcBorders>
              <w:top w:val="single" w:sz="4" w:space="0" w:color="auto"/>
              <w:left w:val="single" w:sz="4" w:space="0" w:color="auto"/>
              <w:bottom w:val="single" w:sz="4" w:space="0" w:color="auto"/>
              <w:right w:val="single" w:sz="4" w:space="0" w:color="auto"/>
            </w:tcBorders>
          </w:tcPr>
          <w:p w14:paraId="40FC38ED" w14:textId="77777777" w:rsidR="00007887" w:rsidRDefault="00007887" w:rsidP="00007887"/>
          <w:p w14:paraId="2720A89A" w14:textId="3BD639A3" w:rsidR="00ED253A" w:rsidRDefault="00941424" w:rsidP="00007887">
            <w:r>
              <w:t>All faculty members and department chairs</w:t>
            </w:r>
            <w:r w:rsidR="00CD1F70">
              <w:t>.</w:t>
            </w:r>
          </w:p>
          <w:p w14:paraId="2AF0E0E2" w14:textId="77777777" w:rsidR="00ED253A" w:rsidRPr="00E428A1" w:rsidRDefault="00ED253A" w:rsidP="00007887"/>
        </w:tc>
        <w:tc>
          <w:tcPr>
            <w:tcW w:w="2700" w:type="dxa"/>
            <w:tcBorders>
              <w:top w:val="single" w:sz="4" w:space="0" w:color="auto"/>
              <w:left w:val="single" w:sz="4" w:space="0" w:color="auto"/>
              <w:bottom w:val="single" w:sz="4" w:space="0" w:color="auto"/>
              <w:right w:val="single" w:sz="4" w:space="0" w:color="auto"/>
            </w:tcBorders>
          </w:tcPr>
          <w:p w14:paraId="75EFF5C5" w14:textId="77777777" w:rsidR="00007887" w:rsidRDefault="00007887" w:rsidP="00007887"/>
          <w:p w14:paraId="11B48533" w14:textId="24EBA49F" w:rsidR="00ED253A" w:rsidRDefault="00CD1F70" w:rsidP="00007887">
            <w:r>
              <w:t>Invite faculty participation through a competitive application process</w:t>
            </w:r>
          </w:p>
          <w:p w14:paraId="5566A81A" w14:textId="77777777" w:rsidR="00ED253A" w:rsidRPr="00E428A1" w:rsidRDefault="00ED253A" w:rsidP="00007887"/>
        </w:tc>
        <w:tc>
          <w:tcPr>
            <w:tcW w:w="2520" w:type="dxa"/>
            <w:gridSpan w:val="2"/>
            <w:tcBorders>
              <w:top w:val="single" w:sz="4" w:space="0" w:color="auto"/>
              <w:left w:val="single" w:sz="4" w:space="0" w:color="auto"/>
              <w:bottom w:val="single" w:sz="4" w:space="0" w:color="auto"/>
              <w:right w:val="single" w:sz="4" w:space="0" w:color="auto"/>
            </w:tcBorders>
          </w:tcPr>
          <w:p w14:paraId="1FA704F9" w14:textId="19CC9338" w:rsidR="00ED253A" w:rsidRDefault="00CD1F70" w:rsidP="00007887">
            <w:r>
              <w:t xml:space="preserve">Demonstrable evidence of </w:t>
            </w:r>
            <w:r w:rsidR="00F65D0E">
              <w:t xml:space="preserve">improvement in </w:t>
            </w:r>
            <w:r>
              <w:t xml:space="preserve"> pedagogy </w:t>
            </w:r>
            <w:r w:rsidR="00F65D0E">
              <w:t>in selected course; sharing of result of research through campus presentations</w:t>
            </w:r>
          </w:p>
          <w:p w14:paraId="65768E2F" w14:textId="77777777" w:rsidR="00ED253A" w:rsidRPr="00E428A1" w:rsidRDefault="00ED253A" w:rsidP="00007887"/>
        </w:tc>
        <w:tc>
          <w:tcPr>
            <w:tcW w:w="2790" w:type="dxa"/>
            <w:gridSpan w:val="2"/>
            <w:tcBorders>
              <w:top w:val="single" w:sz="4" w:space="0" w:color="auto"/>
              <w:left w:val="single" w:sz="4" w:space="0" w:color="auto"/>
              <w:bottom w:val="single" w:sz="4" w:space="0" w:color="auto"/>
              <w:right w:val="single" w:sz="4" w:space="0" w:color="auto"/>
            </w:tcBorders>
          </w:tcPr>
          <w:p w14:paraId="10399717" w14:textId="77777777" w:rsidR="00007887" w:rsidRDefault="00007887" w:rsidP="00007887"/>
          <w:p w14:paraId="0C66040E" w14:textId="77777777" w:rsidR="00ED253A" w:rsidRDefault="00ED253A" w:rsidP="00007887"/>
          <w:p w14:paraId="40B6577D" w14:textId="7859F6BA" w:rsidR="00ED253A" w:rsidRPr="00E428A1" w:rsidRDefault="00F65D0E" w:rsidP="00007887">
            <w:r w:rsidRPr="00772707">
              <w:t>10/01/2017-09/30/2018</w:t>
            </w:r>
          </w:p>
        </w:tc>
      </w:tr>
      <w:tr w:rsidR="00007887" w:rsidRPr="00E428A1" w14:paraId="761A1FEB"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7E32207A" w14:textId="77777777" w:rsidR="00ED253A" w:rsidRDefault="00007887" w:rsidP="00ED253A">
            <w:r w:rsidRPr="00E428A1">
              <w:t xml:space="preserve">5.1 </w:t>
            </w:r>
          </w:p>
          <w:p w14:paraId="6414DC75" w14:textId="3DF265C6" w:rsidR="00ED253A" w:rsidRDefault="0058501F" w:rsidP="00ED253A">
            <w:r>
              <w:t>Establish and staff the Office of Faculty Excellence</w:t>
            </w:r>
          </w:p>
          <w:p w14:paraId="0F5A6353" w14:textId="77777777" w:rsidR="00007887" w:rsidRPr="00E428A1" w:rsidRDefault="00007887" w:rsidP="00ED253A"/>
        </w:tc>
        <w:tc>
          <w:tcPr>
            <w:tcW w:w="2970" w:type="dxa"/>
            <w:tcBorders>
              <w:top w:val="single" w:sz="4" w:space="0" w:color="auto"/>
              <w:left w:val="single" w:sz="4" w:space="0" w:color="auto"/>
              <w:bottom w:val="single" w:sz="4" w:space="0" w:color="auto"/>
              <w:right w:val="single" w:sz="4" w:space="0" w:color="auto"/>
            </w:tcBorders>
          </w:tcPr>
          <w:p w14:paraId="19A1336F" w14:textId="77777777" w:rsidR="00007887" w:rsidRDefault="00007887" w:rsidP="00007887"/>
          <w:p w14:paraId="583ED95A" w14:textId="17373905" w:rsidR="00ED253A" w:rsidRDefault="0058501F" w:rsidP="00007887">
            <w:r>
              <w:t>National Search for a Director</w:t>
            </w:r>
          </w:p>
          <w:p w14:paraId="7E253C17" w14:textId="77777777" w:rsidR="00ED253A" w:rsidRPr="00E428A1" w:rsidRDefault="00ED253A" w:rsidP="00007887"/>
        </w:tc>
        <w:tc>
          <w:tcPr>
            <w:tcW w:w="2700" w:type="dxa"/>
            <w:tcBorders>
              <w:top w:val="single" w:sz="4" w:space="0" w:color="auto"/>
              <w:left w:val="single" w:sz="4" w:space="0" w:color="auto"/>
              <w:bottom w:val="single" w:sz="4" w:space="0" w:color="auto"/>
              <w:right w:val="single" w:sz="4" w:space="0" w:color="auto"/>
            </w:tcBorders>
          </w:tcPr>
          <w:p w14:paraId="757F3BDC" w14:textId="3C93315C" w:rsidR="00ED253A" w:rsidRDefault="0058501F" w:rsidP="00007887">
            <w:r>
              <w:t>Conduct a national search for the director of the office</w:t>
            </w:r>
          </w:p>
          <w:p w14:paraId="2D284A5A" w14:textId="77777777" w:rsidR="00ED253A" w:rsidRDefault="00ED253A" w:rsidP="00007887"/>
          <w:p w14:paraId="7DB93A08" w14:textId="77777777" w:rsidR="00007887" w:rsidRPr="00E428A1" w:rsidRDefault="00007887" w:rsidP="00ED253A"/>
        </w:tc>
        <w:tc>
          <w:tcPr>
            <w:tcW w:w="2520" w:type="dxa"/>
            <w:gridSpan w:val="2"/>
            <w:tcBorders>
              <w:top w:val="single" w:sz="4" w:space="0" w:color="auto"/>
              <w:left w:val="single" w:sz="4" w:space="0" w:color="auto"/>
              <w:bottom w:val="single" w:sz="4" w:space="0" w:color="auto"/>
              <w:right w:val="single" w:sz="4" w:space="0" w:color="auto"/>
            </w:tcBorders>
          </w:tcPr>
          <w:p w14:paraId="45F42EDB" w14:textId="77777777" w:rsidR="00ED253A" w:rsidRDefault="00ED253A" w:rsidP="00007887"/>
          <w:p w14:paraId="43B65B67" w14:textId="75D96744" w:rsidR="00ED253A" w:rsidRDefault="0058501F" w:rsidP="00007887">
            <w:r>
              <w:t>Successful staffing of the office</w:t>
            </w:r>
          </w:p>
          <w:p w14:paraId="45DD6213" w14:textId="77777777" w:rsidR="00007887" w:rsidRPr="00E428A1" w:rsidRDefault="00007887" w:rsidP="00ED253A"/>
        </w:tc>
        <w:tc>
          <w:tcPr>
            <w:tcW w:w="2790" w:type="dxa"/>
            <w:gridSpan w:val="2"/>
            <w:tcBorders>
              <w:top w:val="single" w:sz="4" w:space="0" w:color="auto"/>
              <w:left w:val="single" w:sz="4" w:space="0" w:color="auto"/>
              <w:bottom w:val="single" w:sz="4" w:space="0" w:color="auto"/>
              <w:right w:val="single" w:sz="4" w:space="0" w:color="auto"/>
            </w:tcBorders>
          </w:tcPr>
          <w:p w14:paraId="59083CB5" w14:textId="77777777" w:rsidR="00007887" w:rsidRDefault="00007887" w:rsidP="00007887"/>
          <w:p w14:paraId="2C0DC25F" w14:textId="305B9B88" w:rsidR="00ED253A" w:rsidRDefault="0058501F" w:rsidP="00007887">
            <w:r w:rsidRPr="00772707">
              <w:t>10/01/2017-09/30/2018</w:t>
            </w:r>
          </w:p>
          <w:p w14:paraId="26E68F74" w14:textId="77777777" w:rsidR="00ED253A" w:rsidRPr="00E428A1" w:rsidRDefault="00ED253A" w:rsidP="00007887"/>
        </w:tc>
      </w:tr>
      <w:tr w:rsidR="00007887" w:rsidRPr="00E428A1" w14:paraId="1019F485"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63475ED9" w14:textId="77777777" w:rsidR="00007887" w:rsidRDefault="00007887" w:rsidP="00ED253A">
            <w:r w:rsidRPr="00E428A1">
              <w:t xml:space="preserve">6.1 </w:t>
            </w:r>
          </w:p>
          <w:p w14:paraId="440E9B00" w14:textId="0B302DEF" w:rsidR="00ED253A" w:rsidRPr="0058501F" w:rsidRDefault="0058501F" w:rsidP="00ED253A">
            <w:pPr>
              <w:rPr>
                <w:i/>
              </w:rPr>
            </w:pPr>
            <w:r>
              <w:t xml:space="preserve">Publish two issues of the </w:t>
            </w:r>
            <w:r w:rsidRPr="0058501F">
              <w:rPr>
                <w:i/>
              </w:rPr>
              <w:t>Points of Pride</w:t>
            </w:r>
          </w:p>
          <w:p w14:paraId="7F5D259D" w14:textId="77777777" w:rsidR="00ED253A" w:rsidRPr="00E428A1" w:rsidRDefault="00ED253A" w:rsidP="00ED253A"/>
        </w:tc>
        <w:tc>
          <w:tcPr>
            <w:tcW w:w="2970" w:type="dxa"/>
            <w:tcBorders>
              <w:top w:val="single" w:sz="4" w:space="0" w:color="auto"/>
              <w:left w:val="single" w:sz="4" w:space="0" w:color="auto"/>
              <w:bottom w:val="single" w:sz="4" w:space="0" w:color="auto"/>
              <w:right w:val="single" w:sz="4" w:space="0" w:color="auto"/>
            </w:tcBorders>
          </w:tcPr>
          <w:p w14:paraId="3378F757" w14:textId="599B0FE3" w:rsidR="00007887" w:rsidRDefault="0058501F" w:rsidP="00007887">
            <w:r>
              <w:t>Faculty, Students, Staff; Departments and Colleges</w:t>
            </w:r>
          </w:p>
          <w:p w14:paraId="42B58F76" w14:textId="77777777" w:rsidR="00ED253A" w:rsidRDefault="00ED253A" w:rsidP="00007887"/>
          <w:p w14:paraId="4A4D66F3" w14:textId="77777777" w:rsidR="00ED253A" w:rsidRPr="00E428A1" w:rsidRDefault="00ED253A" w:rsidP="00007887"/>
        </w:tc>
        <w:tc>
          <w:tcPr>
            <w:tcW w:w="2700" w:type="dxa"/>
            <w:tcBorders>
              <w:top w:val="single" w:sz="4" w:space="0" w:color="auto"/>
              <w:left w:val="single" w:sz="4" w:space="0" w:color="auto"/>
              <w:bottom w:val="single" w:sz="4" w:space="0" w:color="auto"/>
              <w:right w:val="single" w:sz="4" w:space="0" w:color="auto"/>
            </w:tcBorders>
          </w:tcPr>
          <w:p w14:paraId="16736440" w14:textId="77777777" w:rsidR="00007887" w:rsidRDefault="00007887" w:rsidP="00007887"/>
          <w:p w14:paraId="63D9BB46" w14:textId="2CBD628A" w:rsidR="00ED253A" w:rsidRDefault="0058501F" w:rsidP="00007887">
            <w:r>
              <w:t>Survey the accomplishments coming out of the colleges each semester, and celebrate the works and successes of the ASU family</w:t>
            </w:r>
          </w:p>
          <w:p w14:paraId="32F245F8" w14:textId="77777777" w:rsidR="00ED253A" w:rsidRPr="00E428A1" w:rsidRDefault="00ED253A" w:rsidP="00007887"/>
        </w:tc>
        <w:tc>
          <w:tcPr>
            <w:tcW w:w="2520" w:type="dxa"/>
            <w:gridSpan w:val="2"/>
            <w:tcBorders>
              <w:top w:val="single" w:sz="4" w:space="0" w:color="auto"/>
              <w:left w:val="single" w:sz="4" w:space="0" w:color="auto"/>
              <w:bottom w:val="single" w:sz="4" w:space="0" w:color="auto"/>
              <w:right w:val="single" w:sz="4" w:space="0" w:color="auto"/>
            </w:tcBorders>
          </w:tcPr>
          <w:p w14:paraId="13731742" w14:textId="77777777" w:rsidR="00007887" w:rsidRDefault="00007887" w:rsidP="00007887"/>
          <w:p w14:paraId="4150027D" w14:textId="67DE7031" w:rsidR="00ED253A" w:rsidRDefault="0058501F" w:rsidP="00007887">
            <w:r>
              <w:t>Two online publications</w:t>
            </w:r>
          </w:p>
          <w:p w14:paraId="357C4223" w14:textId="77777777" w:rsidR="00ED253A" w:rsidRPr="00E428A1" w:rsidRDefault="00ED253A" w:rsidP="00007887"/>
        </w:tc>
        <w:tc>
          <w:tcPr>
            <w:tcW w:w="2790" w:type="dxa"/>
            <w:gridSpan w:val="2"/>
            <w:tcBorders>
              <w:top w:val="single" w:sz="4" w:space="0" w:color="auto"/>
              <w:left w:val="single" w:sz="4" w:space="0" w:color="auto"/>
              <w:bottom w:val="single" w:sz="4" w:space="0" w:color="auto"/>
              <w:right w:val="single" w:sz="4" w:space="0" w:color="auto"/>
            </w:tcBorders>
          </w:tcPr>
          <w:p w14:paraId="7B02128D" w14:textId="77777777" w:rsidR="00007887" w:rsidRDefault="00007887" w:rsidP="00007887"/>
          <w:p w14:paraId="198EA343" w14:textId="5B82E875" w:rsidR="00ED253A" w:rsidRPr="00E428A1" w:rsidRDefault="0058501F" w:rsidP="00007887">
            <w:r w:rsidRPr="00772707">
              <w:t>10/01/2017-09/30/2018</w:t>
            </w:r>
            <w:bookmarkStart w:id="0" w:name="_GoBack"/>
            <w:bookmarkEnd w:id="0"/>
          </w:p>
        </w:tc>
      </w:tr>
    </w:tbl>
    <w:p w14:paraId="4EC6481D" w14:textId="77777777" w:rsidR="00007887" w:rsidRPr="00E428A1" w:rsidRDefault="00007887">
      <w:pPr>
        <w:sectPr w:rsidR="00007887" w:rsidRPr="00E428A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cols w:space="720"/>
          <w:docGrid w:linePitch="360"/>
        </w:sectPr>
      </w:pPr>
    </w:p>
    <w:p w14:paraId="27C96A69" w14:textId="77777777" w:rsidR="00007887" w:rsidRPr="00E428A1" w:rsidRDefault="00007887" w:rsidP="005405DA">
      <w:pPr>
        <w:pStyle w:val="Heading2"/>
      </w:pPr>
    </w:p>
    <w:sectPr w:rsidR="00007887" w:rsidRPr="00E428A1" w:rsidSect="0000788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503EE" w14:textId="77777777" w:rsidR="000C1D84" w:rsidRDefault="000C1D84">
      <w:r>
        <w:separator/>
      </w:r>
    </w:p>
  </w:endnote>
  <w:endnote w:type="continuationSeparator" w:id="0">
    <w:p w14:paraId="5035164D" w14:textId="77777777" w:rsidR="000C1D84" w:rsidRDefault="000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BE2FA" w14:textId="77777777" w:rsidR="00E64674" w:rsidRDefault="00E64674" w:rsidP="00007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BF5E25" w14:textId="77777777" w:rsidR="00E64674" w:rsidRDefault="00E64674">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FCD3" w14:textId="7B1B311C" w:rsidR="00E64674" w:rsidRPr="00DC2077" w:rsidRDefault="00E64674" w:rsidP="00007887">
    <w:pPr>
      <w:pStyle w:val="Footer"/>
      <w:framePr w:wrap="around" w:vAnchor="text" w:hAnchor="margin" w:xAlign="center" w:y="1"/>
      <w:rPr>
        <w:rStyle w:val="PageNumber"/>
      </w:rPr>
    </w:pPr>
    <w:r w:rsidRPr="00DC2077">
      <w:rPr>
        <w:rStyle w:val="PageNumber"/>
        <w:rFonts w:ascii="Arial" w:hAnsi="Arial"/>
      </w:rPr>
      <w:fldChar w:fldCharType="begin"/>
    </w:r>
    <w:r w:rsidRPr="00DC2077">
      <w:rPr>
        <w:rStyle w:val="PageNumber"/>
        <w:rFonts w:ascii="Arial" w:hAnsi="Arial"/>
      </w:rPr>
      <w:instrText xml:space="preserve">PAGE  </w:instrText>
    </w:r>
    <w:r w:rsidRPr="00DC2077">
      <w:rPr>
        <w:rStyle w:val="PageNumber"/>
        <w:rFonts w:ascii="Arial" w:hAnsi="Arial"/>
      </w:rPr>
      <w:fldChar w:fldCharType="separate"/>
    </w:r>
    <w:r w:rsidR="0058501F">
      <w:rPr>
        <w:rStyle w:val="PageNumber"/>
        <w:rFonts w:ascii="Arial" w:hAnsi="Arial"/>
        <w:noProof/>
      </w:rPr>
      <w:t>5</w:t>
    </w:r>
    <w:r w:rsidRPr="00DC2077">
      <w:rPr>
        <w:rStyle w:val="PageNumber"/>
        <w:rFonts w:ascii="Arial" w:hAnsi="Arial"/>
      </w:rPr>
      <w:fldChar w:fldCharType="end"/>
    </w:r>
  </w:p>
  <w:p w14:paraId="41C1070A" w14:textId="77777777" w:rsidR="00E64674" w:rsidRPr="00DC2077" w:rsidRDefault="00E64674">
    <w:pPr>
      <w:pStyle w:val="Foo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4642" w14:textId="77777777" w:rsidR="00E64674" w:rsidRDefault="00E64674">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294F" w14:textId="77777777" w:rsidR="00E64674" w:rsidRDefault="00E64674" w:rsidP="00007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119D41" w14:textId="77777777" w:rsidR="00E64674" w:rsidRDefault="00E64674" w:rsidP="00007887">
    <w:pPr>
      <w:pStyle w:val="Footer"/>
      <w:ind w:right="360"/>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72F6" w14:textId="7C9DFD58" w:rsidR="00E64674" w:rsidRPr="00CD033D" w:rsidRDefault="00E64674" w:rsidP="00007887">
    <w:pPr>
      <w:pStyle w:val="Footer"/>
      <w:framePr w:wrap="around" w:vAnchor="text" w:hAnchor="margin" w:xAlign="center" w:y="1"/>
      <w:jc w:val="center"/>
      <w:rPr>
        <w:rStyle w:val="PageNumber"/>
      </w:rPr>
    </w:pPr>
    <w:r w:rsidRPr="00CD033D">
      <w:rPr>
        <w:rStyle w:val="PageNumber"/>
        <w:rFonts w:ascii="Arial" w:hAnsi="Arial"/>
      </w:rPr>
      <w:fldChar w:fldCharType="begin"/>
    </w:r>
    <w:r w:rsidRPr="00CD033D">
      <w:rPr>
        <w:rStyle w:val="PageNumber"/>
        <w:rFonts w:ascii="Arial" w:hAnsi="Arial"/>
      </w:rPr>
      <w:instrText xml:space="preserve">PAGE  </w:instrText>
    </w:r>
    <w:r w:rsidRPr="00CD033D">
      <w:rPr>
        <w:rStyle w:val="PageNumber"/>
        <w:rFonts w:ascii="Arial" w:hAnsi="Arial"/>
      </w:rPr>
      <w:fldChar w:fldCharType="separate"/>
    </w:r>
    <w:r w:rsidR="0058501F">
      <w:rPr>
        <w:rStyle w:val="PageNumber"/>
        <w:rFonts w:ascii="Arial" w:hAnsi="Arial"/>
        <w:noProof/>
      </w:rPr>
      <w:t>6</w:t>
    </w:r>
    <w:r w:rsidRPr="00CD033D">
      <w:rPr>
        <w:rStyle w:val="PageNumber"/>
        <w:rFonts w:ascii="Arial" w:hAnsi="Arial"/>
      </w:rPr>
      <w:fldChar w:fldCharType="end"/>
    </w:r>
  </w:p>
  <w:p w14:paraId="7DCB3C2D" w14:textId="77777777" w:rsidR="00E64674" w:rsidRDefault="00E64674" w:rsidP="00007887">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B34D9" w14:textId="77777777" w:rsidR="00E64674" w:rsidRDefault="00E64674">
    <w:pPr>
      <w:pStyle w:val="Footer"/>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8224" w14:textId="77777777" w:rsidR="00E64674" w:rsidRDefault="00E64674" w:rsidP="00007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245182" w14:textId="77777777" w:rsidR="00E64674" w:rsidRDefault="00E64674" w:rsidP="00007887">
    <w:pPr>
      <w:pStyle w:val="Footer"/>
      <w:ind w:right="360"/>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80E3" w14:textId="137C67AC" w:rsidR="00E64674" w:rsidRPr="00CD033D" w:rsidRDefault="00E64674" w:rsidP="00007887">
    <w:pPr>
      <w:pStyle w:val="Footer"/>
      <w:framePr w:wrap="around" w:vAnchor="text" w:hAnchor="margin" w:xAlign="center" w:y="1"/>
      <w:jc w:val="center"/>
      <w:rPr>
        <w:rStyle w:val="PageNumber"/>
      </w:rPr>
    </w:pPr>
    <w:r w:rsidRPr="00CD033D">
      <w:rPr>
        <w:rStyle w:val="PageNumber"/>
        <w:rFonts w:ascii="Arial" w:hAnsi="Arial"/>
      </w:rPr>
      <w:fldChar w:fldCharType="begin"/>
    </w:r>
    <w:r w:rsidRPr="00CD033D">
      <w:rPr>
        <w:rStyle w:val="PageNumber"/>
        <w:rFonts w:ascii="Arial" w:hAnsi="Arial"/>
      </w:rPr>
      <w:instrText xml:space="preserve">PAGE  </w:instrText>
    </w:r>
    <w:r w:rsidRPr="00CD033D">
      <w:rPr>
        <w:rStyle w:val="PageNumber"/>
        <w:rFonts w:ascii="Arial" w:hAnsi="Arial"/>
      </w:rPr>
      <w:fldChar w:fldCharType="separate"/>
    </w:r>
    <w:r w:rsidR="00F65D0E">
      <w:rPr>
        <w:rStyle w:val="PageNumber"/>
        <w:rFonts w:ascii="Arial" w:hAnsi="Arial"/>
        <w:noProof/>
      </w:rPr>
      <w:t>8</w:t>
    </w:r>
    <w:r w:rsidRPr="00CD033D">
      <w:rPr>
        <w:rStyle w:val="PageNumber"/>
        <w:rFonts w:ascii="Arial" w:hAnsi="Arial"/>
      </w:rPr>
      <w:fldChar w:fldCharType="end"/>
    </w:r>
  </w:p>
  <w:p w14:paraId="71B181DB" w14:textId="77777777" w:rsidR="00E64674" w:rsidRDefault="00E64674" w:rsidP="00007887">
    <w:pPr>
      <w:pStyle w:val="Footer"/>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70F6" w14:textId="77777777" w:rsidR="00E64674" w:rsidRDefault="00E64674">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0C3DE" w14:textId="77777777" w:rsidR="000C1D84" w:rsidRDefault="000C1D84">
      <w:r>
        <w:separator/>
      </w:r>
    </w:p>
  </w:footnote>
  <w:footnote w:type="continuationSeparator" w:id="0">
    <w:p w14:paraId="432D9104" w14:textId="77777777" w:rsidR="000C1D84" w:rsidRDefault="000C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08BF" w14:textId="77777777" w:rsidR="00E64674" w:rsidRDefault="00E6467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2A15" w14:textId="77777777" w:rsidR="00E64674" w:rsidRDefault="00E64674">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1187" w14:textId="77777777" w:rsidR="00E64674" w:rsidRDefault="00E64674">
    <w:pPr>
      <w:pStyle w:val="Heade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D5A0" w14:textId="77777777" w:rsidR="00E64674" w:rsidRDefault="00E646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88912" w14:textId="77777777" w:rsidR="00E64674" w:rsidRDefault="00E64674">
    <w:pPr>
      <w:pStyle w:val="Header"/>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6265" w14:textId="77777777" w:rsidR="00E64674" w:rsidRDefault="00E64674">
    <w:pPr>
      <w:pStyle w:val="Header"/>
    </w:pP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0D54" w14:textId="77777777" w:rsidR="00E64674" w:rsidRPr="00E428A1" w:rsidRDefault="00E64674" w:rsidP="00E428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E33F" w14:textId="77777777" w:rsidR="00E64674" w:rsidRDefault="00E6467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39B"/>
    <w:multiLevelType w:val="hybridMultilevel"/>
    <w:tmpl w:val="D3922AE4"/>
    <w:lvl w:ilvl="0" w:tplc="3EBE643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857"/>
    <w:multiLevelType w:val="hybridMultilevel"/>
    <w:tmpl w:val="C2E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46D0"/>
    <w:multiLevelType w:val="hybridMultilevel"/>
    <w:tmpl w:val="DDE2D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D15CF"/>
    <w:multiLevelType w:val="hybridMultilevel"/>
    <w:tmpl w:val="B25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41AE"/>
    <w:multiLevelType w:val="hybridMultilevel"/>
    <w:tmpl w:val="9F48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DBD"/>
    <w:multiLevelType w:val="hybridMultilevel"/>
    <w:tmpl w:val="312A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03C6C"/>
    <w:multiLevelType w:val="hybridMultilevel"/>
    <w:tmpl w:val="8B4A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665"/>
    <w:multiLevelType w:val="hybridMultilevel"/>
    <w:tmpl w:val="EEAA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61972"/>
    <w:multiLevelType w:val="hybridMultilevel"/>
    <w:tmpl w:val="6DCEED28"/>
    <w:lvl w:ilvl="0" w:tplc="CA02630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172C2DC0"/>
    <w:multiLevelType w:val="hybridMultilevel"/>
    <w:tmpl w:val="98A2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36028"/>
    <w:multiLevelType w:val="hybridMultilevel"/>
    <w:tmpl w:val="91A29A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9E34B15"/>
    <w:multiLevelType w:val="hybridMultilevel"/>
    <w:tmpl w:val="3E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A713E"/>
    <w:multiLevelType w:val="hybridMultilevel"/>
    <w:tmpl w:val="A2146E24"/>
    <w:lvl w:ilvl="0" w:tplc="93141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6B4BAF"/>
    <w:multiLevelType w:val="hybridMultilevel"/>
    <w:tmpl w:val="7A7E9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F20024"/>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0699B"/>
    <w:multiLevelType w:val="hybridMultilevel"/>
    <w:tmpl w:val="72D85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0728B"/>
    <w:multiLevelType w:val="hybridMultilevel"/>
    <w:tmpl w:val="2ABC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B24C0"/>
    <w:multiLevelType w:val="hybridMultilevel"/>
    <w:tmpl w:val="D7101D54"/>
    <w:lvl w:ilvl="0" w:tplc="F9D2963A">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Wingding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Wingdings"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Wingdings"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34165C29"/>
    <w:multiLevelType w:val="multilevel"/>
    <w:tmpl w:val="A498E3D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7802DE"/>
    <w:multiLevelType w:val="hybridMultilevel"/>
    <w:tmpl w:val="7632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C5C3D"/>
    <w:multiLevelType w:val="hybridMultilevel"/>
    <w:tmpl w:val="D492A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75297"/>
    <w:multiLevelType w:val="hybridMultilevel"/>
    <w:tmpl w:val="6CD4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253D3"/>
    <w:multiLevelType w:val="hybridMultilevel"/>
    <w:tmpl w:val="E5462E5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0E1B04"/>
    <w:multiLevelType w:val="multilevel"/>
    <w:tmpl w:val="392CADB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645C79"/>
    <w:multiLevelType w:val="hybridMultilevel"/>
    <w:tmpl w:val="8FC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77F02"/>
    <w:multiLevelType w:val="hybridMultilevel"/>
    <w:tmpl w:val="E6781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D86EBC"/>
    <w:multiLevelType w:val="hybridMultilevel"/>
    <w:tmpl w:val="8F4CE4C2"/>
    <w:lvl w:ilvl="0" w:tplc="04090001">
      <w:start w:val="1"/>
      <w:numFmt w:val="bullet"/>
      <w:lvlText w:val=""/>
      <w:lvlJc w:val="left"/>
      <w:pPr>
        <w:tabs>
          <w:tab w:val="num" w:pos="720"/>
        </w:tabs>
        <w:ind w:left="720" w:hanging="360"/>
      </w:pPr>
      <w:rPr>
        <w:rFonts w:ascii="Symbol" w:hAnsi="Symbol" w:hint="default"/>
      </w:rPr>
    </w:lvl>
    <w:lvl w:ilvl="1" w:tplc="211A33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A4809"/>
    <w:multiLevelType w:val="hybridMultilevel"/>
    <w:tmpl w:val="FB048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F421C"/>
    <w:multiLevelType w:val="hybridMultilevel"/>
    <w:tmpl w:val="508C9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C1540"/>
    <w:multiLevelType w:val="hybridMultilevel"/>
    <w:tmpl w:val="C51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5396D"/>
    <w:multiLevelType w:val="hybridMultilevel"/>
    <w:tmpl w:val="9A44A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FC556D"/>
    <w:multiLevelType w:val="hybridMultilevel"/>
    <w:tmpl w:val="226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42876"/>
    <w:multiLevelType w:val="hybridMultilevel"/>
    <w:tmpl w:val="2A66ED42"/>
    <w:lvl w:ilvl="0" w:tplc="04090001">
      <w:start w:val="1"/>
      <w:numFmt w:val="bullet"/>
      <w:lvlText w:val=""/>
      <w:lvlJc w:val="left"/>
      <w:pPr>
        <w:tabs>
          <w:tab w:val="num" w:pos="720"/>
        </w:tabs>
        <w:ind w:left="720" w:hanging="360"/>
      </w:pPr>
      <w:rPr>
        <w:rFonts w:ascii="Symbol" w:hAnsi="Symbol" w:hint="default"/>
      </w:rPr>
    </w:lvl>
    <w:lvl w:ilvl="1" w:tplc="211A33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679C1"/>
    <w:multiLevelType w:val="hybridMultilevel"/>
    <w:tmpl w:val="6F8CA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7F3EAC"/>
    <w:multiLevelType w:val="hybridMultilevel"/>
    <w:tmpl w:val="0754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05C3A"/>
    <w:multiLevelType w:val="hybridMultilevel"/>
    <w:tmpl w:val="D10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632FD"/>
    <w:multiLevelType w:val="hybridMultilevel"/>
    <w:tmpl w:val="C7E42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53193"/>
    <w:multiLevelType w:val="hybridMultilevel"/>
    <w:tmpl w:val="3620C3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E6A45"/>
    <w:multiLevelType w:val="hybridMultilevel"/>
    <w:tmpl w:val="D54C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27305"/>
    <w:multiLevelType w:val="hybridMultilevel"/>
    <w:tmpl w:val="CE60D7AC"/>
    <w:lvl w:ilvl="0" w:tplc="A058DFE2">
      <w:start w:val="5"/>
      <w:numFmt w:val="bullet"/>
      <w:lvlText w:val="-"/>
      <w:lvlJc w:val="left"/>
      <w:pPr>
        <w:tabs>
          <w:tab w:val="num" w:pos="1080"/>
        </w:tabs>
        <w:ind w:left="1080" w:hanging="360"/>
      </w:pPr>
      <w:rPr>
        <w:rFonts w:ascii="Times New Roman" w:eastAsia="Times New Roman" w:hAnsi="Times New Roman" w:hint="default"/>
        <w:w w:val="0"/>
      </w:rPr>
    </w:lvl>
    <w:lvl w:ilvl="1" w:tplc="00030409">
      <w:start w:val="1"/>
      <w:numFmt w:val="bullet"/>
      <w:lvlText w:val="o"/>
      <w:lvlJc w:val="left"/>
      <w:pPr>
        <w:tabs>
          <w:tab w:val="num" w:pos="1800"/>
        </w:tabs>
        <w:ind w:left="1800" w:hanging="360"/>
      </w:pPr>
      <w:rPr>
        <w:rFonts w:ascii="Courier New" w:hAnsi="Courier New" w:cs="Wingdings" w:hint="default"/>
      </w:rPr>
    </w:lvl>
    <w:lvl w:ilvl="2" w:tplc="00050409" w:tentative="1">
      <w:start w:val="1"/>
      <w:numFmt w:val="bullet"/>
      <w:lvlText w:val=""/>
      <w:lvlJc w:val="left"/>
      <w:pPr>
        <w:tabs>
          <w:tab w:val="num" w:pos="2520"/>
        </w:tabs>
        <w:ind w:left="2520" w:hanging="360"/>
      </w:pPr>
      <w:rPr>
        <w:rFonts w:ascii="Symbol" w:hAnsi="Symbol" w:cs="Wingdings" w:hint="default"/>
      </w:rPr>
    </w:lvl>
    <w:lvl w:ilvl="3" w:tplc="00010409" w:tentative="1">
      <w:start w:val="1"/>
      <w:numFmt w:val="bullet"/>
      <w:lvlText w:val=""/>
      <w:lvlJc w:val="left"/>
      <w:pPr>
        <w:tabs>
          <w:tab w:val="num" w:pos="3240"/>
        </w:tabs>
        <w:ind w:left="3240" w:hanging="360"/>
      </w:pPr>
      <w:rPr>
        <w:rFonts w:ascii="Symbol" w:hAnsi="Symbol" w:cs="Wingdings" w:hint="default"/>
      </w:rPr>
    </w:lvl>
    <w:lvl w:ilvl="4" w:tplc="00030409" w:tentative="1">
      <w:start w:val="1"/>
      <w:numFmt w:val="bullet"/>
      <w:lvlText w:val="o"/>
      <w:lvlJc w:val="left"/>
      <w:pPr>
        <w:tabs>
          <w:tab w:val="num" w:pos="3960"/>
        </w:tabs>
        <w:ind w:left="3960" w:hanging="360"/>
      </w:pPr>
      <w:rPr>
        <w:rFonts w:ascii="Courier New" w:hAnsi="Courier New" w:cs="Wingdings" w:hint="default"/>
      </w:rPr>
    </w:lvl>
    <w:lvl w:ilvl="5" w:tplc="00050409" w:tentative="1">
      <w:start w:val="1"/>
      <w:numFmt w:val="bullet"/>
      <w:lvlText w:val=""/>
      <w:lvlJc w:val="left"/>
      <w:pPr>
        <w:tabs>
          <w:tab w:val="num" w:pos="4680"/>
        </w:tabs>
        <w:ind w:left="4680" w:hanging="360"/>
      </w:pPr>
      <w:rPr>
        <w:rFonts w:ascii="Symbol" w:hAnsi="Symbol" w:cs="Wingdings" w:hint="default"/>
      </w:rPr>
    </w:lvl>
    <w:lvl w:ilvl="6" w:tplc="00010409" w:tentative="1">
      <w:start w:val="1"/>
      <w:numFmt w:val="bullet"/>
      <w:lvlText w:val=""/>
      <w:lvlJc w:val="left"/>
      <w:pPr>
        <w:tabs>
          <w:tab w:val="num" w:pos="5400"/>
        </w:tabs>
        <w:ind w:left="5400" w:hanging="360"/>
      </w:pPr>
      <w:rPr>
        <w:rFonts w:ascii="Symbol" w:hAnsi="Symbol" w:cs="Wingdings" w:hint="default"/>
      </w:rPr>
    </w:lvl>
    <w:lvl w:ilvl="7" w:tplc="00030409" w:tentative="1">
      <w:start w:val="1"/>
      <w:numFmt w:val="bullet"/>
      <w:lvlText w:val="o"/>
      <w:lvlJc w:val="left"/>
      <w:pPr>
        <w:tabs>
          <w:tab w:val="num" w:pos="6120"/>
        </w:tabs>
        <w:ind w:left="6120" w:hanging="360"/>
      </w:pPr>
      <w:rPr>
        <w:rFonts w:ascii="Courier New" w:hAnsi="Courier New" w:cs="Wingdings" w:hint="default"/>
      </w:rPr>
    </w:lvl>
    <w:lvl w:ilvl="8" w:tplc="00050409" w:tentative="1">
      <w:start w:val="1"/>
      <w:numFmt w:val="bullet"/>
      <w:lvlText w:val=""/>
      <w:lvlJc w:val="left"/>
      <w:pPr>
        <w:tabs>
          <w:tab w:val="num" w:pos="6840"/>
        </w:tabs>
        <w:ind w:left="6840" w:hanging="360"/>
      </w:pPr>
      <w:rPr>
        <w:rFonts w:ascii="Symbol" w:hAnsi="Symbol" w:cs="Wingdings" w:hint="default"/>
      </w:rPr>
    </w:lvl>
  </w:abstractNum>
  <w:abstractNum w:abstractNumId="40" w15:restartNumberingAfterBreak="0">
    <w:nsid w:val="72F85D94"/>
    <w:multiLevelType w:val="multilevel"/>
    <w:tmpl w:val="86AACF5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BE6ED9"/>
    <w:multiLevelType w:val="hybridMultilevel"/>
    <w:tmpl w:val="0BBE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91A1D"/>
    <w:multiLevelType w:val="hybridMultilevel"/>
    <w:tmpl w:val="DCD69B14"/>
    <w:lvl w:ilvl="0" w:tplc="10446D6E">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D348C"/>
    <w:multiLevelType w:val="hybridMultilevel"/>
    <w:tmpl w:val="B71A0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num>
  <w:num w:numId="2">
    <w:abstractNumId w:val="16"/>
  </w:num>
  <w:num w:numId="3">
    <w:abstractNumId w:val="5"/>
  </w:num>
  <w:num w:numId="4">
    <w:abstractNumId w:val="17"/>
  </w:num>
  <w:num w:numId="5">
    <w:abstractNumId w:val="15"/>
  </w:num>
  <w:num w:numId="6">
    <w:abstractNumId w:val="28"/>
  </w:num>
  <w:num w:numId="7">
    <w:abstractNumId w:val="1"/>
  </w:num>
  <w:num w:numId="8">
    <w:abstractNumId w:val="0"/>
  </w:num>
  <w:num w:numId="9">
    <w:abstractNumId w:val="42"/>
  </w:num>
  <w:num w:numId="10">
    <w:abstractNumId w:val="12"/>
  </w:num>
  <w:num w:numId="11">
    <w:abstractNumId w:val="27"/>
  </w:num>
  <w:num w:numId="12">
    <w:abstractNumId w:val="18"/>
  </w:num>
  <w:num w:numId="13">
    <w:abstractNumId w:val="6"/>
  </w:num>
  <w:num w:numId="14">
    <w:abstractNumId w:val="34"/>
  </w:num>
  <w:num w:numId="15">
    <w:abstractNumId w:val="29"/>
  </w:num>
  <w:num w:numId="16">
    <w:abstractNumId w:val="26"/>
  </w:num>
  <w:num w:numId="17">
    <w:abstractNumId w:val="32"/>
  </w:num>
  <w:num w:numId="18">
    <w:abstractNumId w:val="4"/>
  </w:num>
  <w:num w:numId="19">
    <w:abstractNumId w:val="22"/>
  </w:num>
  <w:num w:numId="20">
    <w:abstractNumId w:val="37"/>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23"/>
  </w:num>
  <w:num w:numId="26">
    <w:abstractNumId w:val="8"/>
  </w:num>
  <w:num w:numId="27">
    <w:abstractNumId w:val="40"/>
  </w:num>
  <w:num w:numId="28">
    <w:abstractNumId w:val="39"/>
  </w:num>
  <w:num w:numId="29">
    <w:abstractNumId w:val="30"/>
  </w:num>
  <w:num w:numId="30">
    <w:abstractNumId w:val="38"/>
  </w:num>
  <w:num w:numId="31">
    <w:abstractNumId w:val="14"/>
  </w:num>
  <w:num w:numId="32">
    <w:abstractNumId w:val="2"/>
  </w:num>
  <w:num w:numId="33">
    <w:abstractNumId w:val="33"/>
  </w:num>
  <w:num w:numId="34">
    <w:abstractNumId w:val="13"/>
  </w:num>
  <w:num w:numId="35">
    <w:abstractNumId w:val="20"/>
  </w:num>
  <w:num w:numId="36">
    <w:abstractNumId w:val="11"/>
  </w:num>
  <w:num w:numId="37">
    <w:abstractNumId w:val="24"/>
  </w:num>
  <w:num w:numId="38">
    <w:abstractNumId w:val="36"/>
  </w:num>
  <w:num w:numId="39">
    <w:abstractNumId w:val="41"/>
  </w:num>
  <w:num w:numId="40">
    <w:abstractNumId w:val="7"/>
  </w:num>
  <w:num w:numId="41">
    <w:abstractNumId w:val="31"/>
  </w:num>
  <w:num w:numId="42">
    <w:abstractNumId w:val="35"/>
  </w:num>
  <w:num w:numId="43">
    <w:abstractNumId w:val="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5E"/>
    <w:rsid w:val="0000013C"/>
    <w:rsid w:val="00007887"/>
    <w:rsid w:val="0001170F"/>
    <w:rsid w:val="00013078"/>
    <w:rsid w:val="000851F0"/>
    <w:rsid w:val="00091B53"/>
    <w:rsid w:val="00091D91"/>
    <w:rsid w:val="00094952"/>
    <w:rsid w:val="000A5327"/>
    <w:rsid w:val="000C1D84"/>
    <w:rsid w:val="00104523"/>
    <w:rsid w:val="00151B1B"/>
    <w:rsid w:val="0015355E"/>
    <w:rsid w:val="00180430"/>
    <w:rsid w:val="001D64A1"/>
    <w:rsid w:val="002242DA"/>
    <w:rsid w:val="00276765"/>
    <w:rsid w:val="0028413E"/>
    <w:rsid w:val="00285736"/>
    <w:rsid w:val="002C42DB"/>
    <w:rsid w:val="00301DCB"/>
    <w:rsid w:val="00323A0F"/>
    <w:rsid w:val="00356D1F"/>
    <w:rsid w:val="003720DA"/>
    <w:rsid w:val="003D437A"/>
    <w:rsid w:val="00473DDE"/>
    <w:rsid w:val="00484D5D"/>
    <w:rsid w:val="004943B3"/>
    <w:rsid w:val="004B1A6A"/>
    <w:rsid w:val="004D6227"/>
    <w:rsid w:val="004E3789"/>
    <w:rsid w:val="004F676E"/>
    <w:rsid w:val="00502F2D"/>
    <w:rsid w:val="005405DA"/>
    <w:rsid w:val="005475FA"/>
    <w:rsid w:val="00554A2F"/>
    <w:rsid w:val="0058501F"/>
    <w:rsid w:val="00586DD9"/>
    <w:rsid w:val="005966F9"/>
    <w:rsid w:val="005C109D"/>
    <w:rsid w:val="005D2092"/>
    <w:rsid w:val="005D2EB8"/>
    <w:rsid w:val="005D4C13"/>
    <w:rsid w:val="005E3576"/>
    <w:rsid w:val="005F11F2"/>
    <w:rsid w:val="005F463A"/>
    <w:rsid w:val="00610877"/>
    <w:rsid w:val="0063610A"/>
    <w:rsid w:val="00637A1F"/>
    <w:rsid w:val="006744E7"/>
    <w:rsid w:val="006A059B"/>
    <w:rsid w:val="006B563A"/>
    <w:rsid w:val="006C2756"/>
    <w:rsid w:val="006C7F34"/>
    <w:rsid w:val="006E28A2"/>
    <w:rsid w:val="006E609F"/>
    <w:rsid w:val="007034D0"/>
    <w:rsid w:val="00704EE7"/>
    <w:rsid w:val="0076691A"/>
    <w:rsid w:val="007702AF"/>
    <w:rsid w:val="00772707"/>
    <w:rsid w:val="00787E45"/>
    <w:rsid w:val="007A5130"/>
    <w:rsid w:val="007B3A5A"/>
    <w:rsid w:val="007D5FF1"/>
    <w:rsid w:val="007F0D9E"/>
    <w:rsid w:val="00834E58"/>
    <w:rsid w:val="00856A48"/>
    <w:rsid w:val="0088493C"/>
    <w:rsid w:val="008A67F7"/>
    <w:rsid w:val="008D1B66"/>
    <w:rsid w:val="008D443D"/>
    <w:rsid w:val="008E024E"/>
    <w:rsid w:val="008E0EAE"/>
    <w:rsid w:val="008E643C"/>
    <w:rsid w:val="008F547D"/>
    <w:rsid w:val="00905EAF"/>
    <w:rsid w:val="00941424"/>
    <w:rsid w:val="00942591"/>
    <w:rsid w:val="009445E8"/>
    <w:rsid w:val="00971679"/>
    <w:rsid w:val="009C390A"/>
    <w:rsid w:val="009E0D01"/>
    <w:rsid w:val="009F76C9"/>
    <w:rsid w:val="00A16E8C"/>
    <w:rsid w:val="00A22BE8"/>
    <w:rsid w:val="00A2487E"/>
    <w:rsid w:val="00A307DC"/>
    <w:rsid w:val="00A712FC"/>
    <w:rsid w:val="00AC6F93"/>
    <w:rsid w:val="00AF43DF"/>
    <w:rsid w:val="00B209CB"/>
    <w:rsid w:val="00B72D82"/>
    <w:rsid w:val="00B97579"/>
    <w:rsid w:val="00BA5D37"/>
    <w:rsid w:val="00BF178A"/>
    <w:rsid w:val="00C140E5"/>
    <w:rsid w:val="00C80BFC"/>
    <w:rsid w:val="00CA25E0"/>
    <w:rsid w:val="00CD1F70"/>
    <w:rsid w:val="00CD5216"/>
    <w:rsid w:val="00CE0F0A"/>
    <w:rsid w:val="00D025EB"/>
    <w:rsid w:val="00D66A1F"/>
    <w:rsid w:val="00D754A9"/>
    <w:rsid w:val="00D94AED"/>
    <w:rsid w:val="00DE14EF"/>
    <w:rsid w:val="00E12769"/>
    <w:rsid w:val="00E16FF4"/>
    <w:rsid w:val="00E21BD6"/>
    <w:rsid w:val="00E23385"/>
    <w:rsid w:val="00E428A1"/>
    <w:rsid w:val="00E642FA"/>
    <w:rsid w:val="00E64674"/>
    <w:rsid w:val="00E73A15"/>
    <w:rsid w:val="00EB15CC"/>
    <w:rsid w:val="00EB4330"/>
    <w:rsid w:val="00EC0CB6"/>
    <w:rsid w:val="00ED253A"/>
    <w:rsid w:val="00ED7308"/>
    <w:rsid w:val="00ED758A"/>
    <w:rsid w:val="00F07237"/>
    <w:rsid w:val="00F16CDF"/>
    <w:rsid w:val="00F248A1"/>
    <w:rsid w:val="00F26513"/>
    <w:rsid w:val="00F27560"/>
    <w:rsid w:val="00F60793"/>
    <w:rsid w:val="00F65D0E"/>
    <w:rsid w:val="00F82A14"/>
    <w:rsid w:val="00FA7EFC"/>
    <w:rsid w:val="00FB3C58"/>
    <w:rsid w:val="00FC10C1"/>
    <w:rsid w:val="00FC2DBC"/>
    <w:rsid w:val="00FD5730"/>
    <w:rsid w:val="00FF4F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64909"/>
  <w15:chartTrackingRefBased/>
  <w15:docId w15:val="{9C9CA3C0-8A58-CC44-871D-88E98E2D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DA"/>
    <w:rPr>
      <w:sz w:val="24"/>
      <w:szCs w:val="24"/>
    </w:rPr>
  </w:style>
  <w:style w:type="paragraph" w:styleId="Heading1">
    <w:name w:val="heading 1"/>
    <w:basedOn w:val="Normal"/>
    <w:next w:val="Normal"/>
    <w:link w:val="Heading1Char"/>
    <w:qFormat/>
    <w:rsid w:val="00D85A2E"/>
    <w:pPr>
      <w:keepNext/>
      <w:jc w:val="center"/>
      <w:outlineLvl w:val="0"/>
    </w:pPr>
    <w:rPr>
      <w:b/>
      <w:bCs/>
    </w:rPr>
  </w:style>
  <w:style w:type="paragraph" w:styleId="Heading2">
    <w:name w:val="heading 2"/>
    <w:basedOn w:val="Normal"/>
    <w:next w:val="Normal"/>
    <w:link w:val="Heading2Char"/>
    <w:uiPriority w:val="99"/>
    <w:qFormat/>
    <w:rsid w:val="00D85A2E"/>
    <w:pPr>
      <w:keepNext/>
      <w:outlineLvl w:val="1"/>
    </w:pPr>
    <w:rPr>
      <w:b/>
      <w:bCs/>
    </w:rPr>
  </w:style>
  <w:style w:type="paragraph" w:styleId="Heading4">
    <w:name w:val="heading 4"/>
    <w:basedOn w:val="Normal"/>
    <w:next w:val="Normal"/>
    <w:link w:val="Heading4Char"/>
    <w:qFormat/>
    <w:rsid w:val="00D91AB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A2E"/>
    <w:pPr>
      <w:jc w:val="center"/>
    </w:pPr>
    <w:rPr>
      <w:b/>
      <w:bCs/>
      <w:lang w:val="x-none" w:eastAsia="x-none"/>
    </w:rPr>
  </w:style>
  <w:style w:type="paragraph" w:styleId="Header">
    <w:name w:val="header"/>
    <w:basedOn w:val="Normal"/>
    <w:link w:val="HeaderChar"/>
    <w:rsid w:val="00D85A2E"/>
    <w:pPr>
      <w:tabs>
        <w:tab w:val="center" w:pos="4320"/>
        <w:tab w:val="right" w:pos="8640"/>
      </w:tabs>
    </w:pPr>
  </w:style>
  <w:style w:type="paragraph" w:styleId="Footer">
    <w:name w:val="footer"/>
    <w:basedOn w:val="Normal"/>
    <w:link w:val="FooterChar"/>
    <w:rsid w:val="00D85A2E"/>
    <w:pPr>
      <w:tabs>
        <w:tab w:val="center" w:pos="4320"/>
        <w:tab w:val="right" w:pos="8640"/>
      </w:tabs>
    </w:pPr>
    <w:rPr>
      <w:lang w:val="x-none" w:eastAsia="x-none"/>
    </w:rPr>
  </w:style>
  <w:style w:type="paragraph" w:styleId="BalloonText">
    <w:name w:val="Balloon Text"/>
    <w:basedOn w:val="Normal"/>
    <w:link w:val="BalloonTextChar"/>
    <w:semiHidden/>
    <w:rsid w:val="00D85A2E"/>
    <w:rPr>
      <w:rFonts w:ascii="Tahoma" w:hAnsi="Tahoma" w:cs="Tahoma"/>
      <w:sz w:val="16"/>
      <w:szCs w:val="16"/>
    </w:rPr>
  </w:style>
  <w:style w:type="character" w:styleId="PageNumber">
    <w:name w:val="page number"/>
    <w:basedOn w:val="DefaultParagraphFont"/>
    <w:rsid w:val="00430505"/>
  </w:style>
  <w:style w:type="paragraph" w:styleId="DocumentMap">
    <w:name w:val="Document Map"/>
    <w:basedOn w:val="Normal"/>
    <w:link w:val="DocumentMapChar"/>
    <w:rsid w:val="00786AE3"/>
    <w:rPr>
      <w:rFonts w:ascii="Lucida Grande" w:hAnsi="Lucida Grande"/>
    </w:rPr>
  </w:style>
  <w:style w:type="character" w:customStyle="1" w:styleId="DocumentMapChar">
    <w:name w:val="Document Map Char"/>
    <w:link w:val="DocumentMap"/>
    <w:rsid w:val="00786AE3"/>
    <w:rPr>
      <w:rFonts w:ascii="Lucida Grande" w:hAnsi="Lucida Grande"/>
      <w:sz w:val="24"/>
      <w:szCs w:val="24"/>
    </w:rPr>
  </w:style>
  <w:style w:type="table" w:styleId="TableGrid">
    <w:name w:val="Table Grid"/>
    <w:basedOn w:val="TableNormal"/>
    <w:rsid w:val="007A7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9"/>
    <w:rsid w:val="00820C81"/>
    <w:rPr>
      <w:b/>
      <w:bCs/>
      <w:sz w:val="24"/>
      <w:szCs w:val="24"/>
    </w:rPr>
  </w:style>
  <w:style w:type="character" w:customStyle="1" w:styleId="HeaderChar">
    <w:name w:val="Header Char"/>
    <w:link w:val="Header"/>
    <w:rsid w:val="00820C81"/>
    <w:rPr>
      <w:sz w:val="24"/>
      <w:szCs w:val="24"/>
    </w:rPr>
  </w:style>
  <w:style w:type="paragraph" w:customStyle="1" w:styleId="MediumGrid21">
    <w:name w:val="Medium Grid 21"/>
    <w:uiPriority w:val="1"/>
    <w:qFormat/>
    <w:rsid w:val="00B64DDE"/>
    <w:rPr>
      <w:rFonts w:ascii="Cambria" w:eastAsia="Cambria" w:hAnsi="Cambria"/>
      <w:sz w:val="22"/>
      <w:szCs w:val="22"/>
    </w:rPr>
  </w:style>
  <w:style w:type="character" w:customStyle="1" w:styleId="Heading1Char">
    <w:name w:val="Heading 1 Char"/>
    <w:link w:val="Heading1"/>
    <w:rsid w:val="00B64DDE"/>
    <w:rPr>
      <w:b/>
      <w:bCs/>
      <w:sz w:val="24"/>
      <w:szCs w:val="24"/>
    </w:rPr>
  </w:style>
  <w:style w:type="paragraph" w:customStyle="1" w:styleId="ColorfulList-Accent11">
    <w:name w:val="Colorful List - Accent 11"/>
    <w:basedOn w:val="Normal"/>
    <w:uiPriority w:val="99"/>
    <w:qFormat/>
    <w:rsid w:val="00B64DDE"/>
    <w:pPr>
      <w:spacing w:after="200" w:line="276" w:lineRule="auto"/>
      <w:ind w:left="720"/>
      <w:contextualSpacing/>
    </w:pPr>
    <w:rPr>
      <w:rFonts w:ascii="Calibri" w:hAnsi="Calibri" w:cs="Calibri"/>
      <w:sz w:val="22"/>
      <w:szCs w:val="22"/>
    </w:rPr>
  </w:style>
  <w:style w:type="character" w:customStyle="1" w:styleId="Heading4Char">
    <w:name w:val="Heading 4 Char"/>
    <w:link w:val="Heading4"/>
    <w:rsid w:val="00D91ABE"/>
    <w:rPr>
      <w:rFonts w:ascii="Calibri" w:hAnsi="Calibri"/>
      <w:b/>
      <w:bCs/>
      <w:sz w:val="28"/>
      <w:szCs w:val="28"/>
    </w:rPr>
  </w:style>
  <w:style w:type="paragraph" w:styleId="BodyText">
    <w:name w:val="Body Text"/>
    <w:basedOn w:val="Normal"/>
    <w:link w:val="BodyTextChar"/>
    <w:rsid w:val="00D91ABE"/>
    <w:rPr>
      <w:szCs w:val="20"/>
    </w:rPr>
  </w:style>
  <w:style w:type="character" w:customStyle="1" w:styleId="BodyTextChar">
    <w:name w:val="Body Text Char"/>
    <w:link w:val="BodyText"/>
    <w:rsid w:val="00D91ABE"/>
    <w:rPr>
      <w:sz w:val="24"/>
    </w:rPr>
  </w:style>
  <w:style w:type="paragraph" w:styleId="BodyText2">
    <w:name w:val="Body Text 2"/>
    <w:basedOn w:val="Normal"/>
    <w:link w:val="BodyText2Char"/>
    <w:rsid w:val="00D91ABE"/>
    <w:pPr>
      <w:ind w:right="-1350"/>
      <w:jc w:val="both"/>
    </w:pPr>
    <w:rPr>
      <w:szCs w:val="20"/>
    </w:rPr>
  </w:style>
  <w:style w:type="character" w:customStyle="1" w:styleId="BodyText2Char">
    <w:name w:val="Body Text 2 Char"/>
    <w:link w:val="BodyText2"/>
    <w:rsid w:val="00D91ABE"/>
    <w:rPr>
      <w:sz w:val="24"/>
    </w:rPr>
  </w:style>
  <w:style w:type="character" w:styleId="Strong">
    <w:name w:val="Strong"/>
    <w:uiPriority w:val="22"/>
    <w:qFormat/>
    <w:rsid w:val="00D91ABE"/>
    <w:rPr>
      <w:b/>
      <w:bCs/>
    </w:rPr>
  </w:style>
  <w:style w:type="character" w:customStyle="1" w:styleId="TitleChar">
    <w:name w:val="Title Char"/>
    <w:link w:val="Title"/>
    <w:rsid w:val="00D91ABE"/>
    <w:rPr>
      <w:b/>
      <w:bCs/>
      <w:sz w:val="24"/>
      <w:szCs w:val="24"/>
    </w:rPr>
  </w:style>
  <w:style w:type="paragraph" w:styleId="FootnoteText">
    <w:name w:val="footnote text"/>
    <w:basedOn w:val="Normal"/>
    <w:link w:val="FootnoteTextChar"/>
    <w:rsid w:val="00D91ABE"/>
    <w:rPr>
      <w:sz w:val="20"/>
      <w:szCs w:val="20"/>
    </w:rPr>
  </w:style>
  <w:style w:type="character" w:customStyle="1" w:styleId="FootnoteTextChar">
    <w:name w:val="Footnote Text Char"/>
    <w:basedOn w:val="DefaultParagraphFont"/>
    <w:link w:val="FootnoteText"/>
    <w:rsid w:val="00D91ABE"/>
  </w:style>
  <w:style w:type="character" w:styleId="FootnoteReference">
    <w:name w:val="footnote reference"/>
    <w:rsid w:val="00D91ABE"/>
    <w:rPr>
      <w:vertAlign w:val="superscript"/>
    </w:rPr>
  </w:style>
  <w:style w:type="character" w:customStyle="1" w:styleId="FooterChar">
    <w:name w:val="Footer Char"/>
    <w:link w:val="Footer"/>
    <w:rsid w:val="00D91ABE"/>
    <w:rPr>
      <w:sz w:val="24"/>
      <w:szCs w:val="24"/>
    </w:rPr>
  </w:style>
  <w:style w:type="character" w:customStyle="1" w:styleId="BalloonTextChar">
    <w:name w:val="Balloon Text Char"/>
    <w:link w:val="BalloonText"/>
    <w:semiHidden/>
    <w:rsid w:val="00390F1F"/>
    <w:rPr>
      <w:rFonts w:ascii="Tahoma" w:hAnsi="Tahoma" w:cs="Tahoma"/>
      <w:sz w:val="16"/>
      <w:szCs w:val="16"/>
    </w:rPr>
  </w:style>
  <w:style w:type="paragraph" w:styleId="ListParagraph">
    <w:name w:val="List Paragraph"/>
    <w:basedOn w:val="Normal"/>
    <w:uiPriority w:val="34"/>
    <w:qFormat/>
    <w:rsid w:val="00636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32B4-CF28-4A5A-935A-D6D9163D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ACTIVITY OBJECTIVES AND ANTICIPATED RESULTS</vt:lpstr>
    </vt:vector>
  </TitlesOfParts>
  <Company>Central State University</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OBJECTIVES AND ANTICIPATED RESULTS</dc:title>
  <dc:subject/>
  <dc:creator>channah-willis</dc:creator>
  <cp:keywords/>
  <cp:lastModifiedBy>Fontenot, Olufunke A.</cp:lastModifiedBy>
  <cp:revision>11</cp:revision>
  <cp:lastPrinted>2017-03-08T18:38:00Z</cp:lastPrinted>
  <dcterms:created xsi:type="dcterms:W3CDTF">2017-06-15T20:42:00Z</dcterms:created>
  <dcterms:modified xsi:type="dcterms:W3CDTF">2017-06-15T21:45:00Z</dcterms:modified>
</cp:coreProperties>
</file>