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B7" w:rsidRPr="004158B7" w:rsidRDefault="004158B7" w:rsidP="00C41460">
      <w:pPr>
        <w:pStyle w:val="NormalWeb"/>
        <w:jc w:val="center"/>
        <w:rPr>
          <w:rFonts w:ascii="Garamond" w:hAnsi="Garamond" w:cs="Arial"/>
          <w:b/>
          <w:bCs/>
          <w:sz w:val="32"/>
          <w:szCs w:val="32"/>
        </w:rPr>
      </w:pPr>
    </w:p>
    <w:p w:rsidR="00C41460" w:rsidRPr="008770C3" w:rsidRDefault="00A13A96" w:rsidP="00C41460">
      <w:pPr>
        <w:pStyle w:val="NormalWeb"/>
        <w:jc w:val="center"/>
        <w:rPr>
          <w:rFonts w:asciiTheme="minorHAnsi" w:hAnsiTheme="minorHAnsi" w:cstheme="minorHAnsi"/>
          <w:b/>
          <w:bCs/>
          <w:sz w:val="32"/>
          <w:szCs w:val="32"/>
        </w:rPr>
      </w:pPr>
      <w:r>
        <w:rPr>
          <w:rFonts w:asciiTheme="minorHAnsi" w:hAnsiTheme="minorHAnsi" w:cstheme="minorHAnsi"/>
          <w:b/>
          <w:bCs/>
          <w:sz w:val="32"/>
          <w:szCs w:val="32"/>
        </w:rPr>
        <w:t>Office of Research and Sponsored Programs</w:t>
      </w:r>
      <w:r w:rsidR="003E6299" w:rsidRPr="008770C3">
        <w:rPr>
          <w:rFonts w:asciiTheme="minorHAnsi" w:hAnsiTheme="minorHAnsi" w:cstheme="minorHAnsi"/>
          <w:b/>
          <w:bCs/>
          <w:sz w:val="32"/>
          <w:szCs w:val="32"/>
        </w:rPr>
        <w:t xml:space="preserve">, </w:t>
      </w:r>
      <w:r>
        <w:rPr>
          <w:rFonts w:asciiTheme="minorHAnsi" w:hAnsiTheme="minorHAnsi" w:cstheme="minorHAnsi"/>
          <w:b/>
          <w:bCs/>
          <w:sz w:val="32"/>
          <w:szCs w:val="32"/>
        </w:rPr>
        <w:t>6</w:t>
      </w:r>
      <w:r w:rsidR="003E6299" w:rsidRPr="008770C3">
        <w:rPr>
          <w:rFonts w:asciiTheme="minorHAnsi" w:hAnsiTheme="minorHAnsi" w:cstheme="minorHAnsi"/>
          <w:b/>
          <w:bCs/>
          <w:sz w:val="32"/>
          <w:szCs w:val="32"/>
        </w:rPr>
        <w:t>00</w:t>
      </w:r>
    </w:p>
    <w:p w:rsidR="00C156B1" w:rsidRPr="008770C3" w:rsidRDefault="000D5B1D" w:rsidP="00C41460">
      <w:pPr>
        <w:pStyle w:val="NormalWeb"/>
        <w:jc w:val="center"/>
        <w:rPr>
          <w:rFonts w:asciiTheme="minorHAnsi" w:hAnsiTheme="minorHAnsi" w:cstheme="minorHAnsi"/>
          <w:b/>
          <w:bCs/>
          <w:sz w:val="32"/>
          <w:szCs w:val="32"/>
        </w:rPr>
      </w:pPr>
      <w:r>
        <w:rPr>
          <w:rFonts w:asciiTheme="minorHAnsi" w:hAnsiTheme="minorHAnsi" w:cstheme="minorHAnsi"/>
          <w:b/>
          <w:bCs/>
          <w:sz w:val="32"/>
          <w:szCs w:val="32"/>
        </w:rPr>
        <w:t xml:space="preserve">Supplemental Compensation </w:t>
      </w:r>
      <w:r w:rsidR="007E0DFA">
        <w:rPr>
          <w:rFonts w:asciiTheme="minorHAnsi" w:hAnsiTheme="minorHAnsi" w:cstheme="minorHAnsi"/>
          <w:b/>
          <w:bCs/>
          <w:sz w:val="32"/>
          <w:szCs w:val="32"/>
        </w:rPr>
        <w:t>Amendment</w:t>
      </w:r>
    </w:p>
    <w:p w:rsidR="00AA4110" w:rsidRDefault="00AA4110" w:rsidP="008770C3">
      <w:pPr>
        <w:pStyle w:val="NoSpacing"/>
        <w:rPr>
          <w:rFonts w:ascii="Arial" w:hAnsi="Arial" w:cs="Arial"/>
          <w:b/>
        </w:rPr>
      </w:pPr>
    </w:p>
    <w:p w:rsidR="008770C3" w:rsidRPr="00ED203F" w:rsidRDefault="008770C3" w:rsidP="008770C3">
      <w:pPr>
        <w:pStyle w:val="NoSpacing"/>
        <w:rPr>
          <w:rFonts w:asciiTheme="minorHAnsi" w:hAnsiTheme="minorHAnsi" w:cstheme="minorHAnsi"/>
          <w:b/>
          <w:sz w:val="24"/>
          <w:szCs w:val="24"/>
        </w:rPr>
      </w:pPr>
      <w:r w:rsidRPr="00ED203F">
        <w:rPr>
          <w:rFonts w:asciiTheme="minorHAnsi" w:hAnsiTheme="minorHAnsi" w:cstheme="minorHAnsi"/>
          <w:b/>
          <w:sz w:val="24"/>
          <w:szCs w:val="24"/>
        </w:rPr>
        <w:t>1.0</w:t>
      </w:r>
      <w:r w:rsidRPr="00ED203F">
        <w:rPr>
          <w:rFonts w:asciiTheme="minorHAnsi" w:hAnsiTheme="minorHAnsi" w:cstheme="minorHAnsi"/>
          <w:b/>
          <w:sz w:val="24"/>
          <w:szCs w:val="24"/>
        </w:rPr>
        <w:tab/>
        <w:t>Purpose</w:t>
      </w:r>
    </w:p>
    <w:p w:rsidR="000D5B1D" w:rsidRDefault="000D5B1D" w:rsidP="000D5B1D">
      <w:pPr>
        <w:jc w:val="both"/>
        <w:rPr>
          <w:rFonts w:ascii="Calibri" w:hAnsi="Calibri" w:cs="Calibri"/>
          <w:sz w:val="20"/>
          <w:szCs w:val="20"/>
        </w:rPr>
      </w:pPr>
    </w:p>
    <w:p w:rsidR="000D5B1D" w:rsidRPr="000D5B1D" w:rsidRDefault="000D5B1D" w:rsidP="000D5B1D">
      <w:pPr>
        <w:jc w:val="both"/>
        <w:rPr>
          <w:rFonts w:ascii="Calibri" w:hAnsi="Calibri" w:cs="Calibri"/>
          <w:szCs w:val="20"/>
        </w:rPr>
      </w:pPr>
      <w:r w:rsidRPr="000D5B1D">
        <w:rPr>
          <w:rFonts w:ascii="Calibri" w:hAnsi="Calibri" w:cs="Calibri"/>
          <w:szCs w:val="20"/>
        </w:rPr>
        <w:t xml:space="preserve">The purpose of this policy is to provide guidelines for additional pay that </w:t>
      </w:r>
      <w:r w:rsidRPr="000D5B1D">
        <w:rPr>
          <w:rFonts w:ascii="Calibri" w:hAnsi="Calibri" w:cs="Calibri"/>
          <w:b/>
          <w:szCs w:val="20"/>
        </w:rPr>
        <w:t xml:space="preserve">eligible </w:t>
      </w:r>
      <w:r w:rsidRPr="000D5B1D">
        <w:rPr>
          <w:rFonts w:ascii="Calibri" w:hAnsi="Calibri" w:cs="Calibri"/>
          <w:szCs w:val="20"/>
        </w:rPr>
        <w:t xml:space="preserve">employees at Albany State University may receive from contracts, grants, or any other funding sources for </w:t>
      </w:r>
      <w:r w:rsidRPr="000D5B1D">
        <w:rPr>
          <w:rFonts w:ascii="Calibri" w:hAnsi="Calibri" w:cs="Calibri"/>
          <w:b/>
          <w:szCs w:val="20"/>
        </w:rPr>
        <w:t>incidental/extra</w:t>
      </w:r>
      <w:r w:rsidRPr="000D5B1D">
        <w:rPr>
          <w:rFonts w:ascii="Calibri" w:hAnsi="Calibri" w:cs="Calibri"/>
          <w:szCs w:val="20"/>
        </w:rPr>
        <w:t xml:space="preserve"> work they perform that is in excess of their normal duties and responsibilities.</w:t>
      </w:r>
    </w:p>
    <w:p w:rsidR="000D5B1D" w:rsidRPr="000D5B1D" w:rsidRDefault="000D5B1D" w:rsidP="008770C3">
      <w:pPr>
        <w:rPr>
          <w:rFonts w:asciiTheme="minorHAnsi" w:hAnsiTheme="minorHAnsi" w:cstheme="minorHAnsi"/>
          <w:sz w:val="32"/>
        </w:rPr>
      </w:pPr>
    </w:p>
    <w:p w:rsidR="000D5B1D" w:rsidRPr="000D5B1D" w:rsidRDefault="000D5B1D" w:rsidP="000D5B1D">
      <w:pPr>
        <w:jc w:val="both"/>
        <w:rPr>
          <w:rStyle w:val="style941"/>
          <w:rFonts w:ascii="Calibri" w:hAnsi="Calibri" w:cs="Calibri"/>
          <w:b/>
          <w:color w:val="000000"/>
          <w:szCs w:val="20"/>
        </w:rPr>
      </w:pPr>
      <w:r w:rsidRPr="000D5B1D">
        <w:rPr>
          <w:rFonts w:ascii="Calibri" w:hAnsi="Calibri"/>
          <w:szCs w:val="20"/>
        </w:rPr>
        <w:t xml:space="preserve">At Albany State, grant projects are considered a part of academic responsibility, and incorporated into a faculty member’s workload </w:t>
      </w:r>
      <w:r w:rsidRPr="000D5B1D">
        <w:rPr>
          <w:rFonts w:ascii="Calibri" w:hAnsi="Calibri"/>
          <w:b/>
          <w:szCs w:val="20"/>
        </w:rPr>
        <w:t>without extra compensation</w:t>
      </w:r>
      <w:r w:rsidRPr="000D5B1D">
        <w:rPr>
          <w:rFonts w:ascii="Calibri" w:hAnsi="Calibri"/>
          <w:szCs w:val="20"/>
        </w:rPr>
        <w:t xml:space="preserve"> regardless of the time and effort involved in the activity. Supplemental compensation is defined as income in excess of the institutional base salary.  Federal and Board of Regents guidelines stipulate the </w:t>
      </w:r>
      <w:bookmarkStart w:id="0" w:name="_GoBack"/>
      <w:bookmarkEnd w:id="0"/>
      <w:r w:rsidRPr="000D5B1D">
        <w:rPr>
          <w:rFonts w:ascii="Calibri" w:hAnsi="Calibri"/>
          <w:szCs w:val="20"/>
        </w:rPr>
        <w:t>terms under which such employees may receive additional compensation for jobs performed that are in excess of their normal duties. These regulations serve as the background for this supplemental compensation policy and are as follows:</w:t>
      </w:r>
    </w:p>
    <w:p w:rsidR="000D5B1D" w:rsidRPr="000D5B1D" w:rsidRDefault="000D5B1D" w:rsidP="000D5B1D">
      <w:pPr>
        <w:pStyle w:val="NoSpacing"/>
        <w:numPr>
          <w:ilvl w:val="0"/>
          <w:numId w:val="42"/>
        </w:numPr>
        <w:rPr>
          <w:sz w:val="24"/>
        </w:rPr>
      </w:pPr>
      <w:r w:rsidRPr="000D5B1D">
        <w:rPr>
          <w:sz w:val="24"/>
        </w:rPr>
        <w:t xml:space="preserve">OMB Circular </w:t>
      </w:r>
    </w:p>
    <w:p w:rsidR="000D5B1D" w:rsidRPr="000D5B1D" w:rsidRDefault="000D5B1D" w:rsidP="000D5B1D">
      <w:pPr>
        <w:pStyle w:val="NoSpacing"/>
        <w:numPr>
          <w:ilvl w:val="0"/>
          <w:numId w:val="42"/>
        </w:numPr>
        <w:rPr>
          <w:sz w:val="24"/>
        </w:rPr>
      </w:pPr>
      <w:r w:rsidRPr="000D5B1D">
        <w:rPr>
          <w:sz w:val="24"/>
        </w:rPr>
        <w:t>Council on Government Relations: Compensation Effort Commitments and Certification</w:t>
      </w:r>
    </w:p>
    <w:p w:rsidR="000D5B1D" w:rsidRPr="000D5B1D" w:rsidRDefault="000D5B1D" w:rsidP="000D5B1D">
      <w:pPr>
        <w:pStyle w:val="NoSpacing"/>
        <w:numPr>
          <w:ilvl w:val="0"/>
          <w:numId w:val="42"/>
        </w:numPr>
        <w:rPr>
          <w:sz w:val="24"/>
        </w:rPr>
      </w:pPr>
      <w:r w:rsidRPr="000D5B1D">
        <w:rPr>
          <w:sz w:val="24"/>
        </w:rPr>
        <w:t>BOR Business Procedures Manual, Section 5.3.2</w:t>
      </w:r>
    </w:p>
    <w:p w:rsidR="000D5B1D" w:rsidRPr="000D5B1D" w:rsidRDefault="000D5B1D" w:rsidP="000D5B1D">
      <w:pPr>
        <w:pStyle w:val="NoSpacing"/>
        <w:numPr>
          <w:ilvl w:val="0"/>
          <w:numId w:val="42"/>
        </w:numPr>
        <w:rPr>
          <w:sz w:val="24"/>
        </w:rPr>
      </w:pPr>
      <w:r w:rsidRPr="000D5B1D">
        <w:rPr>
          <w:sz w:val="24"/>
        </w:rPr>
        <w:t>BOR Policy Manual, Section 8.3.12</w:t>
      </w:r>
    </w:p>
    <w:p w:rsidR="008770C3" w:rsidRPr="000D5B1D" w:rsidRDefault="008770C3" w:rsidP="008770C3">
      <w:pPr>
        <w:pStyle w:val="NormalWeb"/>
        <w:spacing w:before="0" w:beforeAutospacing="0" w:after="0" w:afterAutospacing="0"/>
        <w:jc w:val="both"/>
        <w:rPr>
          <w:rFonts w:asciiTheme="minorHAnsi" w:hAnsiTheme="minorHAnsi" w:cstheme="minorHAnsi"/>
          <w:b/>
          <w:sz w:val="32"/>
        </w:rPr>
      </w:pPr>
    </w:p>
    <w:p w:rsidR="008770C3" w:rsidRPr="00ED203F" w:rsidRDefault="008770C3" w:rsidP="008770C3">
      <w:pPr>
        <w:pStyle w:val="NoSpacing"/>
        <w:rPr>
          <w:rFonts w:asciiTheme="minorHAnsi" w:hAnsiTheme="minorHAnsi" w:cstheme="minorHAnsi"/>
          <w:b/>
          <w:sz w:val="24"/>
          <w:szCs w:val="24"/>
        </w:rPr>
      </w:pPr>
      <w:r w:rsidRPr="00ED203F">
        <w:rPr>
          <w:rFonts w:asciiTheme="minorHAnsi" w:hAnsiTheme="minorHAnsi" w:cstheme="minorHAnsi"/>
          <w:b/>
          <w:sz w:val="24"/>
          <w:szCs w:val="24"/>
        </w:rPr>
        <w:t>2.0</w:t>
      </w:r>
      <w:r w:rsidRPr="00ED203F">
        <w:rPr>
          <w:rFonts w:asciiTheme="minorHAnsi" w:hAnsiTheme="minorHAnsi" w:cstheme="minorHAnsi"/>
          <w:b/>
          <w:sz w:val="24"/>
          <w:szCs w:val="24"/>
        </w:rPr>
        <w:tab/>
        <w:t>Scope</w:t>
      </w:r>
    </w:p>
    <w:p w:rsidR="008336D0" w:rsidRPr="00ED203F" w:rsidRDefault="008336D0" w:rsidP="008770C3">
      <w:pPr>
        <w:pStyle w:val="NormalWeb"/>
        <w:spacing w:before="0" w:beforeAutospacing="0" w:after="0" w:afterAutospacing="0"/>
        <w:jc w:val="both"/>
        <w:rPr>
          <w:rFonts w:asciiTheme="minorHAnsi" w:hAnsiTheme="minorHAnsi" w:cstheme="minorHAnsi"/>
        </w:rPr>
      </w:pPr>
    </w:p>
    <w:p w:rsidR="008770C3" w:rsidRDefault="008770C3" w:rsidP="008770C3">
      <w:pPr>
        <w:pStyle w:val="NormalWeb"/>
        <w:spacing w:before="0" w:beforeAutospacing="0" w:after="0" w:afterAutospacing="0"/>
        <w:jc w:val="both"/>
        <w:rPr>
          <w:rFonts w:asciiTheme="minorHAnsi" w:hAnsiTheme="minorHAnsi" w:cstheme="minorHAnsi"/>
        </w:rPr>
      </w:pPr>
      <w:r w:rsidRPr="00ED203F">
        <w:rPr>
          <w:rFonts w:asciiTheme="minorHAnsi" w:hAnsiTheme="minorHAnsi" w:cstheme="minorHAnsi"/>
        </w:rPr>
        <w:t xml:space="preserve">This policy is applicable to </w:t>
      </w:r>
      <w:r w:rsidR="00E047E0" w:rsidRPr="00ED203F">
        <w:rPr>
          <w:rFonts w:asciiTheme="minorHAnsi" w:hAnsiTheme="minorHAnsi" w:cstheme="minorHAnsi"/>
        </w:rPr>
        <w:t>a</w:t>
      </w:r>
      <w:r w:rsidR="00555433" w:rsidRPr="00ED203F">
        <w:rPr>
          <w:rFonts w:asciiTheme="minorHAnsi" w:hAnsiTheme="minorHAnsi" w:cstheme="minorHAnsi"/>
        </w:rPr>
        <w:t xml:space="preserve">ll Albany State University employees </w:t>
      </w:r>
      <w:r w:rsidR="00E047E0" w:rsidRPr="00ED203F">
        <w:rPr>
          <w:rFonts w:asciiTheme="minorHAnsi" w:hAnsiTheme="minorHAnsi" w:cstheme="minorHAnsi"/>
        </w:rPr>
        <w:t xml:space="preserve">who </w:t>
      </w:r>
      <w:r w:rsidR="000D5B1D">
        <w:rPr>
          <w:rFonts w:asciiTheme="minorHAnsi" w:hAnsiTheme="minorHAnsi" w:cstheme="minorHAnsi"/>
        </w:rPr>
        <w:t xml:space="preserve">are receiving extra compensation from sponsored programs.  </w:t>
      </w:r>
    </w:p>
    <w:p w:rsidR="000D5B1D" w:rsidRPr="00ED203F" w:rsidRDefault="000D5B1D" w:rsidP="008770C3">
      <w:pPr>
        <w:pStyle w:val="NormalWeb"/>
        <w:spacing w:before="0" w:beforeAutospacing="0" w:after="0" w:afterAutospacing="0"/>
        <w:jc w:val="both"/>
        <w:rPr>
          <w:rFonts w:asciiTheme="minorHAnsi" w:hAnsiTheme="minorHAnsi" w:cstheme="minorHAnsi"/>
        </w:rPr>
      </w:pPr>
    </w:p>
    <w:p w:rsidR="008770C3" w:rsidRPr="00ED203F" w:rsidRDefault="008770C3" w:rsidP="008770C3">
      <w:pPr>
        <w:pStyle w:val="NoSpacing"/>
        <w:rPr>
          <w:rFonts w:asciiTheme="minorHAnsi" w:hAnsiTheme="minorHAnsi" w:cstheme="minorHAnsi"/>
          <w:b/>
          <w:sz w:val="24"/>
          <w:szCs w:val="24"/>
        </w:rPr>
      </w:pPr>
      <w:r w:rsidRPr="00ED203F">
        <w:rPr>
          <w:rFonts w:asciiTheme="minorHAnsi" w:hAnsiTheme="minorHAnsi" w:cstheme="minorHAnsi"/>
          <w:b/>
          <w:sz w:val="24"/>
          <w:szCs w:val="24"/>
        </w:rPr>
        <w:t>3.0</w:t>
      </w:r>
      <w:r w:rsidRPr="00ED203F">
        <w:rPr>
          <w:rFonts w:asciiTheme="minorHAnsi" w:hAnsiTheme="minorHAnsi" w:cstheme="minorHAnsi"/>
          <w:b/>
          <w:sz w:val="24"/>
          <w:szCs w:val="24"/>
        </w:rPr>
        <w:tab/>
        <w:t>Policy</w:t>
      </w:r>
    </w:p>
    <w:p w:rsidR="000D5B1D" w:rsidRDefault="000D5B1D" w:rsidP="000D5B1D">
      <w:pPr>
        <w:rPr>
          <w:rFonts w:asciiTheme="minorHAnsi" w:hAnsiTheme="minorHAnsi" w:cstheme="minorHAnsi"/>
        </w:rPr>
      </w:pPr>
    </w:p>
    <w:p w:rsidR="000D5B1D" w:rsidRDefault="000D5B1D" w:rsidP="000D5B1D">
      <w:pPr>
        <w:rPr>
          <w:rFonts w:asciiTheme="minorHAnsi" w:hAnsiTheme="minorHAnsi" w:cstheme="minorHAnsi"/>
        </w:rPr>
      </w:pPr>
      <w:r w:rsidRPr="00ED203F">
        <w:rPr>
          <w:rFonts w:asciiTheme="minorHAnsi" w:hAnsiTheme="minorHAnsi" w:cstheme="minorHAnsi"/>
        </w:rPr>
        <w:t xml:space="preserve">It is the policy of Albany State University to abide by </w:t>
      </w:r>
      <w:r>
        <w:rPr>
          <w:rFonts w:asciiTheme="minorHAnsi" w:hAnsiTheme="minorHAnsi" w:cstheme="minorHAnsi"/>
        </w:rPr>
        <w:t xml:space="preserve">state and </w:t>
      </w:r>
      <w:r w:rsidRPr="00ED203F">
        <w:rPr>
          <w:rFonts w:asciiTheme="minorHAnsi" w:hAnsiTheme="minorHAnsi" w:cstheme="minorHAnsi"/>
        </w:rPr>
        <w:t xml:space="preserve">federal regulations governing </w:t>
      </w:r>
      <w:r w:rsidRPr="000D5B1D">
        <w:rPr>
          <w:rFonts w:asciiTheme="minorHAnsi" w:hAnsiTheme="minorHAnsi" w:cstheme="minorHAnsi"/>
        </w:rPr>
        <w:t>supplem</w:t>
      </w:r>
      <w:r>
        <w:rPr>
          <w:rFonts w:asciiTheme="minorHAnsi" w:hAnsiTheme="minorHAnsi" w:cstheme="minorHAnsi"/>
        </w:rPr>
        <w:t>ental compensation</w:t>
      </w:r>
      <w:r w:rsidRPr="000D5B1D">
        <w:t xml:space="preserve"> </w:t>
      </w:r>
      <w:r>
        <w:rPr>
          <w:rFonts w:asciiTheme="minorHAnsi" w:hAnsiTheme="minorHAnsi" w:cstheme="minorHAnsi"/>
        </w:rPr>
        <w:t>a</w:t>
      </w:r>
      <w:r w:rsidRPr="000D5B1D">
        <w:rPr>
          <w:rFonts w:asciiTheme="minorHAnsi" w:hAnsiTheme="minorHAnsi" w:cstheme="minorHAnsi"/>
        </w:rPr>
        <w:t>mendment</w:t>
      </w:r>
      <w:r>
        <w:rPr>
          <w:rFonts w:asciiTheme="minorHAnsi" w:hAnsiTheme="minorHAnsi" w:cstheme="minorHAnsi"/>
        </w:rPr>
        <w:t>s</w:t>
      </w:r>
      <w:r w:rsidRPr="000D5B1D">
        <w:rPr>
          <w:rFonts w:asciiTheme="minorHAnsi" w:hAnsiTheme="minorHAnsi" w:cstheme="minorHAnsi"/>
        </w:rPr>
        <w:t xml:space="preserve"> for </w:t>
      </w:r>
      <w:r>
        <w:rPr>
          <w:rFonts w:asciiTheme="minorHAnsi" w:hAnsiTheme="minorHAnsi" w:cstheme="minorHAnsi"/>
        </w:rPr>
        <w:t>f</w:t>
      </w:r>
      <w:r w:rsidRPr="000D5B1D">
        <w:rPr>
          <w:rFonts w:asciiTheme="minorHAnsi" w:hAnsiTheme="minorHAnsi" w:cstheme="minorHAnsi"/>
        </w:rPr>
        <w:t xml:space="preserve">aculty, </w:t>
      </w:r>
      <w:r>
        <w:rPr>
          <w:rFonts w:asciiTheme="minorHAnsi" w:hAnsiTheme="minorHAnsi" w:cstheme="minorHAnsi"/>
        </w:rPr>
        <w:t>a</w:t>
      </w:r>
      <w:r w:rsidRPr="000D5B1D">
        <w:rPr>
          <w:rFonts w:asciiTheme="minorHAnsi" w:hAnsiTheme="minorHAnsi" w:cstheme="minorHAnsi"/>
        </w:rPr>
        <w:t xml:space="preserve">dministrators with </w:t>
      </w:r>
      <w:r>
        <w:rPr>
          <w:rFonts w:asciiTheme="minorHAnsi" w:hAnsiTheme="minorHAnsi" w:cstheme="minorHAnsi"/>
        </w:rPr>
        <w:t>f</w:t>
      </w:r>
      <w:r w:rsidRPr="000D5B1D">
        <w:rPr>
          <w:rFonts w:asciiTheme="minorHAnsi" w:hAnsiTheme="minorHAnsi" w:cstheme="minorHAnsi"/>
        </w:rPr>
        <w:t xml:space="preserve">aculty </w:t>
      </w:r>
      <w:r>
        <w:rPr>
          <w:rFonts w:asciiTheme="minorHAnsi" w:hAnsiTheme="minorHAnsi" w:cstheme="minorHAnsi"/>
        </w:rPr>
        <w:t>r</w:t>
      </w:r>
      <w:r w:rsidRPr="000D5B1D">
        <w:rPr>
          <w:rFonts w:asciiTheme="minorHAnsi" w:hAnsiTheme="minorHAnsi" w:cstheme="minorHAnsi"/>
        </w:rPr>
        <w:t xml:space="preserve">ank, and </w:t>
      </w:r>
      <w:r>
        <w:rPr>
          <w:rFonts w:asciiTheme="minorHAnsi" w:hAnsiTheme="minorHAnsi" w:cstheme="minorHAnsi"/>
        </w:rPr>
        <w:t>e</w:t>
      </w:r>
      <w:r w:rsidRPr="000D5B1D">
        <w:rPr>
          <w:rFonts w:asciiTheme="minorHAnsi" w:hAnsiTheme="minorHAnsi" w:cstheme="minorHAnsi"/>
        </w:rPr>
        <w:t xml:space="preserve">ligible </w:t>
      </w:r>
      <w:r>
        <w:rPr>
          <w:rFonts w:asciiTheme="minorHAnsi" w:hAnsiTheme="minorHAnsi" w:cstheme="minorHAnsi"/>
        </w:rPr>
        <w:t>s</w:t>
      </w:r>
      <w:r w:rsidRPr="000D5B1D">
        <w:rPr>
          <w:rFonts w:asciiTheme="minorHAnsi" w:hAnsiTheme="minorHAnsi" w:cstheme="minorHAnsi"/>
        </w:rPr>
        <w:t xml:space="preserve">taff on </w:t>
      </w:r>
      <w:r>
        <w:rPr>
          <w:rFonts w:asciiTheme="minorHAnsi" w:hAnsiTheme="minorHAnsi" w:cstheme="minorHAnsi"/>
        </w:rPr>
        <w:t>s</w:t>
      </w:r>
      <w:r w:rsidRPr="000D5B1D">
        <w:rPr>
          <w:rFonts w:asciiTheme="minorHAnsi" w:hAnsiTheme="minorHAnsi" w:cstheme="minorHAnsi"/>
        </w:rPr>
        <w:t xml:space="preserve">ponsored </w:t>
      </w:r>
      <w:r>
        <w:rPr>
          <w:rFonts w:asciiTheme="minorHAnsi" w:hAnsiTheme="minorHAnsi" w:cstheme="minorHAnsi"/>
        </w:rPr>
        <w:t>p</w:t>
      </w:r>
      <w:r w:rsidRPr="000D5B1D">
        <w:rPr>
          <w:rFonts w:asciiTheme="minorHAnsi" w:hAnsiTheme="minorHAnsi" w:cstheme="minorHAnsi"/>
        </w:rPr>
        <w:t>rograms</w:t>
      </w:r>
      <w:r>
        <w:rPr>
          <w:rFonts w:asciiTheme="minorHAnsi" w:hAnsiTheme="minorHAnsi" w:cstheme="minorHAnsi"/>
        </w:rPr>
        <w:t>.</w:t>
      </w:r>
    </w:p>
    <w:p w:rsidR="00555433" w:rsidRPr="00ED203F" w:rsidRDefault="00555433" w:rsidP="00E047E0">
      <w:pPr>
        <w:jc w:val="both"/>
        <w:rPr>
          <w:rFonts w:asciiTheme="minorHAnsi" w:hAnsiTheme="minorHAnsi" w:cstheme="minorHAnsi"/>
          <w:bCs/>
          <w:color w:val="000000"/>
        </w:rPr>
      </w:pPr>
    </w:p>
    <w:p w:rsidR="008770C3" w:rsidRDefault="008770C3" w:rsidP="008770C3">
      <w:pPr>
        <w:pStyle w:val="NoSpacing"/>
        <w:rPr>
          <w:rFonts w:asciiTheme="minorHAnsi" w:hAnsiTheme="minorHAnsi" w:cstheme="minorHAnsi"/>
          <w:b/>
          <w:bCs/>
          <w:sz w:val="24"/>
          <w:szCs w:val="24"/>
        </w:rPr>
      </w:pPr>
    </w:p>
    <w:p w:rsidR="007F1B2A" w:rsidRDefault="007F1B2A" w:rsidP="008770C3">
      <w:pPr>
        <w:pStyle w:val="NoSpacing"/>
        <w:rPr>
          <w:rFonts w:asciiTheme="minorHAnsi" w:hAnsiTheme="minorHAnsi" w:cstheme="minorHAnsi"/>
          <w:b/>
          <w:bCs/>
          <w:sz w:val="24"/>
          <w:szCs w:val="24"/>
        </w:rPr>
      </w:pPr>
    </w:p>
    <w:p w:rsidR="007F1B2A" w:rsidRPr="00ED203F" w:rsidRDefault="007F1B2A" w:rsidP="008770C3">
      <w:pPr>
        <w:pStyle w:val="NoSpacing"/>
        <w:rPr>
          <w:rFonts w:asciiTheme="minorHAnsi" w:hAnsiTheme="minorHAnsi" w:cstheme="minorHAnsi"/>
          <w:b/>
          <w:bCs/>
          <w:sz w:val="24"/>
          <w:szCs w:val="24"/>
        </w:rPr>
      </w:pPr>
    </w:p>
    <w:p w:rsidR="00555433" w:rsidRPr="00ED203F" w:rsidRDefault="008770C3" w:rsidP="00555433">
      <w:pPr>
        <w:pStyle w:val="NoSpacing"/>
        <w:rPr>
          <w:rFonts w:asciiTheme="minorHAnsi" w:hAnsiTheme="minorHAnsi" w:cstheme="minorHAnsi"/>
          <w:sz w:val="24"/>
          <w:szCs w:val="24"/>
        </w:rPr>
      </w:pPr>
      <w:r w:rsidRPr="00ED203F">
        <w:rPr>
          <w:rFonts w:asciiTheme="minorHAnsi" w:hAnsiTheme="minorHAnsi" w:cstheme="minorHAnsi"/>
          <w:b/>
          <w:bCs/>
          <w:sz w:val="24"/>
          <w:szCs w:val="24"/>
        </w:rPr>
        <w:lastRenderedPageBreak/>
        <w:t xml:space="preserve">4.0 </w:t>
      </w:r>
      <w:r w:rsidRPr="00ED203F">
        <w:rPr>
          <w:rFonts w:asciiTheme="minorHAnsi" w:hAnsiTheme="minorHAnsi" w:cstheme="minorHAnsi"/>
          <w:b/>
          <w:bCs/>
          <w:sz w:val="24"/>
          <w:szCs w:val="24"/>
        </w:rPr>
        <w:tab/>
      </w:r>
      <w:r w:rsidR="00645B42" w:rsidRPr="00ED203F">
        <w:rPr>
          <w:rFonts w:asciiTheme="minorHAnsi" w:hAnsiTheme="minorHAnsi" w:cstheme="minorHAnsi"/>
          <w:b/>
          <w:bCs/>
          <w:sz w:val="24"/>
          <w:szCs w:val="24"/>
        </w:rPr>
        <w:t>Definitions</w:t>
      </w:r>
      <w:r w:rsidR="00555433" w:rsidRPr="00ED203F">
        <w:rPr>
          <w:rFonts w:asciiTheme="minorHAnsi" w:hAnsiTheme="minorHAnsi" w:cstheme="minorHAnsi"/>
          <w:sz w:val="24"/>
          <w:szCs w:val="24"/>
        </w:rPr>
        <w:t xml:space="preserve"> </w:t>
      </w:r>
    </w:p>
    <w:p w:rsidR="000D5B1D" w:rsidRDefault="000D5B1D" w:rsidP="000D5B1D">
      <w:pPr>
        <w:jc w:val="both"/>
        <w:rPr>
          <w:rStyle w:val="style941"/>
          <w:rFonts w:ascii="Calibri" w:hAnsi="Calibri" w:cs="Calibri"/>
          <w:b/>
          <w:color w:val="000000"/>
          <w:szCs w:val="22"/>
        </w:rPr>
      </w:pPr>
    </w:p>
    <w:p w:rsidR="000D5B1D" w:rsidRPr="000D5B1D" w:rsidRDefault="000D5B1D" w:rsidP="000D5B1D">
      <w:pPr>
        <w:jc w:val="both"/>
        <w:rPr>
          <w:rStyle w:val="style941"/>
          <w:rFonts w:ascii="Calibri" w:hAnsi="Calibri" w:cs="Calibri"/>
          <w:color w:val="000000"/>
          <w:szCs w:val="22"/>
        </w:rPr>
      </w:pPr>
      <w:r w:rsidRPr="000D5B1D">
        <w:rPr>
          <w:rStyle w:val="style941"/>
          <w:rFonts w:ascii="Calibri" w:hAnsi="Calibri" w:cs="Calibri"/>
          <w:b/>
          <w:color w:val="000000"/>
          <w:szCs w:val="22"/>
        </w:rPr>
        <w:t xml:space="preserve">Full Workload </w:t>
      </w:r>
      <w:r w:rsidRPr="000D5B1D">
        <w:rPr>
          <w:rStyle w:val="style941"/>
          <w:rFonts w:ascii="Calibri" w:hAnsi="Calibri" w:cs="Calibri"/>
          <w:color w:val="000000"/>
          <w:szCs w:val="22"/>
        </w:rPr>
        <w:t>is defined as:</w:t>
      </w:r>
    </w:p>
    <w:p w:rsidR="000D5B1D" w:rsidRPr="000D5B1D" w:rsidRDefault="000D5B1D" w:rsidP="000D5B1D">
      <w:pPr>
        <w:numPr>
          <w:ilvl w:val="0"/>
          <w:numId w:val="43"/>
        </w:numPr>
        <w:jc w:val="both"/>
        <w:rPr>
          <w:rStyle w:val="style941"/>
          <w:rFonts w:ascii="Calibri" w:hAnsi="Calibri" w:cs="Calibri"/>
          <w:color w:val="000000"/>
          <w:szCs w:val="22"/>
        </w:rPr>
      </w:pPr>
      <w:r w:rsidRPr="000D5B1D">
        <w:rPr>
          <w:rStyle w:val="style941"/>
          <w:rFonts w:ascii="Calibri" w:hAnsi="Calibri" w:cs="Calibri"/>
          <w:color w:val="000000"/>
          <w:szCs w:val="22"/>
        </w:rPr>
        <w:t>12 credit hours for 10 month faculty and additionally include research, public service, and administration responsibilities (unless accreditation states otherwise)</w:t>
      </w:r>
    </w:p>
    <w:p w:rsidR="000D5B1D" w:rsidRPr="000D5B1D" w:rsidRDefault="000D5B1D" w:rsidP="000D5B1D">
      <w:pPr>
        <w:numPr>
          <w:ilvl w:val="0"/>
          <w:numId w:val="43"/>
        </w:numPr>
        <w:jc w:val="both"/>
        <w:rPr>
          <w:rStyle w:val="style941"/>
          <w:rFonts w:ascii="Calibri" w:hAnsi="Calibri" w:cs="Calibri"/>
          <w:color w:val="000000"/>
          <w:szCs w:val="22"/>
        </w:rPr>
      </w:pPr>
      <w:r w:rsidRPr="000D5B1D">
        <w:rPr>
          <w:rStyle w:val="style941"/>
          <w:rFonts w:ascii="Calibri" w:hAnsi="Calibri" w:cs="Calibri"/>
          <w:color w:val="000000"/>
          <w:szCs w:val="22"/>
        </w:rPr>
        <w:t>40 hours per week for staff and include duties as defined in their job description</w:t>
      </w:r>
    </w:p>
    <w:p w:rsidR="000D5B1D" w:rsidRPr="000D5B1D" w:rsidRDefault="000D5B1D" w:rsidP="000D5B1D">
      <w:pPr>
        <w:jc w:val="both"/>
        <w:rPr>
          <w:rStyle w:val="style941"/>
          <w:rFonts w:ascii="Calibri" w:hAnsi="Calibri" w:cs="Calibri"/>
          <w:b/>
          <w:color w:val="000000"/>
          <w:szCs w:val="22"/>
        </w:rPr>
      </w:pPr>
    </w:p>
    <w:p w:rsidR="000D5B1D" w:rsidRPr="000D5B1D" w:rsidRDefault="000D5B1D" w:rsidP="000D5B1D">
      <w:pPr>
        <w:jc w:val="both"/>
        <w:rPr>
          <w:rStyle w:val="style941"/>
          <w:rFonts w:ascii="Calibri" w:hAnsi="Calibri" w:cs="Calibri"/>
          <w:color w:val="000000"/>
          <w:szCs w:val="22"/>
        </w:rPr>
      </w:pPr>
      <w:r w:rsidRPr="000D5B1D">
        <w:rPr>
          <w:rStyle w:val="style941"/>
          <w:rFonts w:ascii="Calibri" w:hAnsi="Calibri" w:cs="Calibri"/>
          <w:b/>
          <w:color w:val="000000"/>
          <w:szCs w:val="22"/>
        </w:rPr>
        <w:t>Incidental Work</w:t>
      </w:r>
      <w:r w:rsidRPr="000D5B1D">
        <w:rPr>
          <w:rStyle w:val="style941"/>
          <w:rFonts w:ascii="Calibri" w:hAnsi="Calibri" w:cs="Calibri"/>
          <w:color w:val="000000"/>
          <w:szCs w:val="22"/>
        </w:rPr>
        <w:t xml:space="preserve"> is any work in excess of normal for the individual, for which supplemental compensation is paid. Generally incidental work can be defined as one-time or sporadic assignments, usually involving additional hours of </w:t>
      </w:r>
      <w:r w:rsidRPr="000D5B1D">
        <w:rPr>
          <w:rStyle w:val="style941"/>
          <w:rFonts w:ascii="Calibri" w:hAnsi="Calibri" w:cs="Calibri"/>
          <w:b/>
          <w:color w:val="000000"/>
          <w:szCs w:val="22"/>
        </w:rPr>
        <w:t>work outside the normal duties and responsibilities</w:t>
      </w:r>
      <w:r w:rsidRPr="000D5B1D">
        <w:rPr>
          <w:rStyle w:val="style941"/>
          <w:rFonts w:ascii="Calibri" w:hAnsi="Calibri" w:cs="Calibri"/>
          <w:color w:val="000000"/>
          <w:szCs w:val="22"/>
        </w:rPr>
        <w:t xml:space="preserve"> of an employee. Compensation is usually in the form of a lump sum payment once the assignment is completed. Examples include: extension or mini-course instruction, editing or translating activities, technical or skilled projects, or other such temporary service.</w:t>
      </w:r>
    </w:p>
    <w:p w:rsidR="000D5B1D" w:rsidRPr="000D5B1D" w:rsidRDefault="000D5B1D" w:rsidP="000D5B1D">
      <w:pPr>
        <w:jc w:val="both"/>
        <w:rPr>
          <w:rStyle w:val="style941"/>
          <w:rFonts w:ascii="Calibri" w:hAnsi="Calibri" w:cs="Calibri"/>
          <w:b/>
          <w:color w:val="000000"/>
          <w:szCs w:val="22"/>
        </w:rPr>
      </w:pPr>
    </w:p>
    <w:p w:rsidR="000D5B1D" w:rsidRPr="000D5B1D" w:rsidRDefault="000D5B1D" w:rsidP="000D5B1D">
      <w:pPr>
        <w:jc w:val="both"/>
        <w:rPr>
          <w:rStyle w:val="style941"/>
          <w:rFonts w:ascii="Calibri" w:hAnsi="Calibri" w:cs="Calibri"/>
          <w:color w:val="000000"/>
          <w:szCs w:val="22"/>
        </w:rPr>
      </w:pPr>
      <w:r w:rsidRPr="000D5B1D">
        <w:rPr>
          <w:rStyle w:val="style941"/>
          <w:rFonts w:ascii="Calibri" w:hAnsi="Calibri" w:cs="Calibri"/>
          <w:b/>
          <w:color w:val="000000"/>
          <w:szCs w:val="22"/>
        </w:rPr>
        <w:t>Institutional Base Salary (IBS)</w:t>
      </w:r>
      <w:r w:rsidRPr="000D5B1D">
        <w:rPr>
          <w:rStyle w:val="style941"/>
          <w:rFonts w:ascii="Calibri" w:hAnsi="Calibri" w:cs="Calibri"/>
          <w:color w:val="000000"/>
          <w:szCs w:val="22"/>
        </w:rPr>
        <w:t xml:space="preserve"> is the current annual salary of the employee as it appears in the appointment letter or subsequent notification of salary increase/decrease, plus any supplement that carries an anticipated duration of one full year or more.</w:t>
      </w:r>
    </w:p>
    <w:p w:rsidR="000D5B1D" w:rsidRPr="000D5B1D" w:rsidRDefault="000D5B1D" w:rsidP="000D5B1D">
      <w:pPr>
        <w:jc w:val="both"/>
        <w:rPr>
          <w:rStyle w:val="style941"/>
          <w:rFonts w:ascii="Calibri" w:hAnsi="Calibri" w:cs="Calibri"/>
          <w:color w:val="000000"/>
          <w:szCs w:val="22"/>
        </w:rPr>
      </w:pPr>
    </w:p>
    <w:p w:rsidR="000D5B1D" w:rsidRPr="000D5B1D" w:rsidRDefault="000D5B1D" w:rsidP="000D5B1D">
      <w:pPr>
        <w:jc w:val="both"/>
        <w:rPr>
          <w:rStyle w:val="style941"/>
          <w:rFonts w:ascii="Calibri" w:hAnsi="Calibri" w:cs="Calibri"/>
          <w:color w:val="000000"/>
          <w:szCs w:val="22"/>
        </w:rPr>
      </w:pPr>
      <w:r w:rsidRPr="000D5B1D">
        <w:rPr>
          <w:rStyle w:val="style941"/>
          <w:rFonts w:ascii="Calibri" w:hAnsi="Calibri" w:cs="Calibri"/>
          <w:b/>
          <w:color w:val="000000"/>
          <w:szCs w:val="22"/>
        </w:rPr>
        <w:t>Institutional Base Salary (IBS) Period for Faculty</w:t>
      </w:r>
      <w:r w:rsidRPr="000D5B1D">
        <w:rPr>
          <w:rStyle w:val="style941"/>
          <w:rFonts w:ascii="Calibri" w:hAnsi="Calibri" w:cs="Calibri"/>
          <w:color w:val="000000"/>
          <w:szCs w:val="22"/>
        </w:rPr>
        <w:t xml:space="preserve"> is 10 months over the academic year period. </w:t>
      </w:r>
    </w:p>
    <w:p w:rsidR="000D5B1D" w:rsidRPr="000D5B1D" w:rsidRDefault="000D5B1D" w:rsidP="000D5B1D">
      <w:pPr>
        <w:jc w:val="both"/>
        <w:rPr>
          <w:rStyle w:val="style941"/>
          <w:rFonts w:ascii="Calibri" w:hAnsi="Calibri" w:cs="Calibri"/>
          <w:color w:val="000000"/>
          <w:szCs w:val="22"/>
        </w:rPr>
      </w:pPr>
    </w:p>
    <w:p w:rsidR="000D5B1D" w:rsidRPr="000D5B1D" w:rsidRDefault="000D5B1D" w:rsidP="000D5B1D">
      <w:pPr>
        <w:jc w:val="both"/>
        <w:rPr>
          <w:rStyle w:val="style941"/>
          <w:rFonts w:ascii="Calibri" w:hAnsi="Calibri" w:cs="Calibri"/>
          <w:color w:val="000000"/>
          <w:szCs w:val="22"/>
        </w:rPr>
      </w:pPr>
      <w:r w:rsidRPr="000D5B1D">
        <w:rPr>
          <w:rStyle w:val="style941"/>
          <w:rFonts w:ascii="Calibri" w:hAnsi="Calibri" w:cs="Calibri"/>
          <w:b/>
          <w:color w:val="000000"/>
          <w:szCs w:val="22"/>
        </w:rPr>
        <w:t>Institutional Base Salary (IBS) Period for Staff</w:t>
      </w:r>
      <w:r w:rsidRPr="000D5B1D">
        <w:rPr>
          <w:rStyle w:val="style941"/>
          <w:rFonts w:ascii="Calibri" w:hAnsi="Calibri" w:cs="Calibri"/>
          <w:color w:val="000000"/>
          <w:szCs w:val="22"/>
        </w:rPr>
        <w:t xml:space="preserve"> </w:t>
      </w:r>
      <w:r w:rsidRPr="000D5B1D">
        <w:rPr>
          <w:rStyle w:val="style941"/>
          <w:rFonts w:ascii="Calibri" w:hAnsi="Calibri" w:cs="Calibri"/>
          <w:b/>
          <w:color w:val="000000"/>
          <w:szCs w:val="22"/>
        </w:rPr>
        <w:t>and Administrators</w:t>
      </w:r>
      <w:r w:rsidRPr="000D5B1D">
        <w:rPr>
          <w:rStyle w:val="style941"/>
          <w:rFonts w:ascii="Calibri" w:hAnsi="Calibri" w:cs="Calibri"/>
          <w:color w:val="000000"/>
          <w:szCs w:val="22"/>
        </w:rPr>
        <w:t xml:space="preserve"> is a full 12 months of the institutional fiscal year.</w:t>
      </w:r>
    </w:p>
    <w:p w:rsidR="000D5B1D" w:rsidRPr="000D5B1D" w:rsidRDefault="000D5B1D" w:rsidP="000D5B1D">
      <w:pPr>
        <w:jc w:val="both"/>
        <w:rPr>
          <w:rStyle w:val="style941"/>
          <w:rFonts w:ascii="Calibri" w:hAnsi="Calibri" w:cs="Calibri"/>
          <w:b/>
          <w:color w:val="000000"/>
          <w:szCs w:val="22"/>
        </w:rPr>
      </w:pPr>
    </w:p>
    <w:p w:rsidR="000D5B1D" w:rsidRPr="000D5B1D" w:rsidRDefault="000D5B1D" w:rsidP="000D5B1D">
      <w:pPr>
        <w:jc w:val="both"/>
        <w:rPr>
          <w:rStyle w:val="style941"/>
          <w:rFonts w:ascii="Calibri" w:hAnsi="Calibri" w:cs="Calibri"/>
          <w:color w:val="000000"/>
          <w:szCs w:val="22"/>
        </w:rPr>
      </w:pPr>
      <w:r w:rsidRPr="000D5B1D">
        <w:rPr>
          <w:rStyle w:val="style941"/>
          <w:rFonts w:ascii="Calibri" w:hAnsi="Calibri" w:cs="Calibri"/>
          <w:b/>
          <w:color w:val="000000"/>
          <w:szCs w:val="22"/>
        </w:rPr>
        <w:t xml:space="preserve">Supplemental Compensation </w:t>
      </w:r>
      <w:r w:rsidRPr="000D5B1D">
        <w:rPr>
          <w:rStyle w:val="style941"/>
          <w:rFonts w:ascii="Calibri" w:hAnsi="Calibri" w:cs="Calibri"/>
          <w:color w:val="000000"/>
          <w:szCs w:val="22"/>
        </w:rPr>
        <w:t>is any compensation over and above employee’s institutional base salary (IBS) paid through the university’s payroll system regardless of funding source. The duties performed are across departmental lines or involves a separate or remote operation and is performed by the employee in addition to their regular departmental load.</w:t>
      </w:r>
    </w:p>
    <w:p w:rsidR="00645B42" w:rsidRPr="00ED203F" w:rsidRDefault="00645B42" w:rsidP="008770C3">
      <w:pPr>
        <w:pStyle w:val="NoSpacing"/>
        <w:rPr>
          <w:rFonts w:asciiTheme="minorHAnsi" w:hAnsiTheme="minorHAnsi" w:cstheme="minorHAnsi"/>
          <w:b/>
          <w:bCs/>
          <w:sz w:val="24"/>
          <w:szCs w:val="24"/>
        </w:rPr>
      </w:pPr>
    </w:p>
    <w:p w:rsidR="00645B42" w:rsidRPr="00ED203F" w:rsidRDefault="00645B42" w:rsidP="000D5B1D">
      <w:pPr>
        <w:pStyle w:val="NoSpacing"/>
        <w:numPr>
          <w:ilvl w:val="0"/>
          <w:numId w:val="48"/>
        </w:numPr>
        <w:rPr>
          <w:rFonts w:asciiTheme="minorHAnsi" w:hAnsiTheme="minorHAnsi" w:cstheme="minorHAnsi"/>
          <w:b/>
          <w:bCs/>
          <w:sz w:val="24"/>
          <w:szCs w:val="24"/>
        </w:rPr>
      </w:pPr>
      <w:r w:rsidRPr="00ED203F">
        <w:rPr>
          <w:rFonts w:asciiTheme="minorHAnsi" w:hAnsiTheme="minorHAnsi" w:cstheme="minorHAnsi"/>
          <w:b/>
          <w:bCs/>
          <w:sz w:val="24"/>
          <w:szCs w:val="24"/>
        </w:rPr>
        <w:tab/>
        <w:t>Procedures</w:t>
      </w:r>
    </w:p>
    <w:p w:rsidR="000E4CFA" w:rsidRDefault="000E4CFA" w:rsidP="000D5B1D">
      <w:pPr>
        <w:jc w:val="both"/>
        <w:rPr>
          <w:rStyle w:val="style941"/>
          <w:rFonts w:ascii="Calibri" w:hAnsi="Calibri" w:cs="Calibri"/>
          <w:b/>
          <w:color w:val="000000"/>
          <w:szCs w:val="22"/>
        </w:rPr>
      </w:pPr>
    </w:p>
    <w:p w:rsidR="000D5B1D" w:rsidRPr="000D5B1D" w:rsidRDefault="000D5B1D" w:rsidP="000D5B1D">
      <w:pPr>
        <w:jc w:val="both"/>
        <w:rPr>
          <w:rStyle w:val="style941"/>
          <w:rFonts w:ascii="Calibri" w:hAnsi="Calibri" w:cs="Calibri"/>
          <w:b/>
          <w:color w:val="000000"/>
          <w:szCs w:val="22"/>
        </w:rPr>
      </w:pPr>
      <w:r>
        <w:rPr>
          <w:rStyle w:val="style941"/>
          <w:rFonts w:ascii="Calibri" w:hAnsi="Calibri" w:cs="Calibri"/>
          <w:b/>
          <w:color w:val="000000"/>
          <w:szCs w:val="22"/>
        </w:rPr>
        <w:t xml:space="preserve">5.1 </w:t>
      </w:r>
      <w:r w:rsidRPr="000D5B1D">
        <w:rPr>
          <w:rStyle w:val="style941"/>
          <w:rFonts w:ascii="Calibri" w:hAnsi="Calibri" w:cs="Calibri"/>
          <w:b/>
          <w:color w:val="000000"/>
          <w:szCs w:val="22"/>
        </w:rPr>
        <w:t>Incidental Work:</w:t>
      </w:r>
    </w:p>
    <w:p w:rsidR="000D5B1D" w:rsidRPr="000D5B1D" w:rsidRDefault="000D5B1D" w:rsidP="000D5B1D">
      <w:pPr>
        <w:ind w:left="360"/>
        <w:jc w:val="both"/>
        <w:rPr>
          <w:rStyle w:val="style941"/>
          <w:rFonts w:ascii="Calibri" w:hAnsi="Calibri" w:cs="Calibri"/>
          <w:color w:val="000000"/>
          <w:szCs w:val="22"/>
        </w:rPr>
      </w:pPr>
      <w:r w:rsidRPr="000D5B1D">
        <w:rPr>
          <w:rStyle w:val="style941"/>
          <w:rFonts w:ascii="Calibri" w:hAnsi="Calibri" w:cs="Calibri"/>
          <w:color w:val="000000"/>
          <w:szCs w:val="22"/>
        </w:rPr>
        <w:t xml:space="preserve">Assignment of duties associated with externally-funded grants and contracts are intended to enable the University and its </w:t>
      </w:r>
      <w:r w:rsidRPr="000D5B1D">
        <w:rPr>
          <w:rStyle w:val="style941"/>
          <w:rFonts w:ascii="Calibri" w:hAnsi="Calibri" w:cs="Calibri"/>
          <w:b/>
          <w:color w:val="000000"/>
          <w:szCs w:val="22"/>
        </w:rPr>
        <w:t>eligible</w:t>
      </w:r>
      <w:r w:rsidRPr="000D5B1D">
        <w:rPr>
          <w:rStyle w:val="style941"/>
          <w:rFonts w:ascii="Calibri" w:hAnsi="Calibri" w:cs="Calibri"/>
          <w:color w:val="000000"/>
          <w:szCs w:val="22"/>
        </w:rPr>
        <w:t xml:space="preserve"> employees to meet the requirements of a sponsored agreement and to participate in scholarly, creative activities. On occasion, incidental work is allowable as supplemental compensation when </w:t>
      </w:r>
      <w:r w:rsidRPr="000D5B1D">
        <w:rPr>
          <w:rStyle w:val="style941"/>
          <w:rFonts w:ascii="Calibri" w:hAnsi="Calibri" w:cs="Calibri"/>
          <w:color w:val="000000"/>
          <w:szCs w:val="22"/>
          <w:u w:val="single"/>
        </w:rPr>
        <w:t>all</w:t>
      </w:r>
      <w:r w:rsidRPr="000D5B1D">
        <w:rPr>
          <w:rStyle w:val="style941"/>
          <w:rFonts w:ascii="Calibri" w:hAnsi="Calibri" w:cs="Calibri"/>
          <w:color w:val="000000"/>
          <w:szCs w:val="22"/>
        </w:rPr>
        <w:t xml:space="preserve"> of the following criteria are met:</w:t>
      </w:r>
    </w:p>
    <w:p w:rsidR="000D5B1D" w:rsidRPr="000D5B1D" w:rsidRDefault="000D5B1D" w:rsidP="000D5B1D">
      <w:pPr>
        <w:pStyle w:val="NoSpacing"/>
        <w:numPr>
          <w:ilvl w:val="0"/>
          <w:numId w:val="44"/>
        </w:numPr>
        <w:jc w:val="both"/>
        <w:rPr>
          <w:sz w:val="24"/>
        </w:rPr>
      </w:pPr>
      <w:r w:rsidRPr="000D5B1D">
        <w:rPr>
          <w:sz w:val="24"/>
        </w:rPr>
        <w:t>Duties must not be included in employees normal job responsibilities,</w:t>
      </w:r>
    </w:p>
    <w:p w:rsidR="000D5B1D" w:rsidRPr="000D5B1D" w:rsidRDefault="000D5B1D" w:rsidP="000D5B1D">
      <w:pPr>
        <w:pStyle w:val="NoSpacing"/>
        <w:numPr>
          <w:ilvl w:val="0"/>
          <w:numId w:val="44"/>
        </w:numPr>
        <w:jc w:val="both"/>
        <w:rPr>
          <w:sz w:val="24"/>
        </w:rPr>
      </w:pPr>
      <w:r w:rsidRPr="000D5B1D">
        <w:rPr>
          <w:sz w:val="24"/>
        </w:rPr>
        <w:t>Tasks need to be performed after normal business hours,</w:t>
      </w:r>
    </w:p>
    <w:p w:rsidR="000D5B1D" w:rsidRPr="000D5B1D" w:rsidRDefault="000D5B1D" w:rsidP="000D5B1D">
      <w:pPr>
        <w:pStyle w:val="NoSpacing"/>
        <w:numPr>
          <w:ilvl w:val="0"/>
          <w:numId w:val="44"/>
        </w:numPr>
        <w:jc w:val="both"/>
      </w:pPr>
      <w:r w:rsidRPr="000D5B1D">
        <w:rPr>
          <w:sz w:val="24"/>
        </w:rPr>
        <w:t xml:space="preserve">Tasks must be outside the employees regular department, </w:t>
      </w:r>
    </w:p>
    <w:p w:rsidR="000D5B1D" w:rsidRPr="000D5B1D" w:rsidRDefault="000D5B1D" w:rsidP="000D5B1D">
      <w:pPr>
        <w:pStyle w:val="NoSpacing"/>
        <w:numPr>
          <w:ilvl w:val="0"/>
          <w:numId w:val="44"/>
        </w:numPr>
        <w:jc w:val="both"/>
      </w:pPr>
      <w:r w:rsidRPr="000D5B1D">
        <w:rPr>
          <w:rFonts w:cs="LAALMF+Garamond,Italic"/>
          <w:color w:val="000000"/>
          <w:sz w:val="24"/>
          <w:szCs w:val="21"/>
        </w:rPr>
        <w:t>Such arrangements are allowable by the agency within the confines of the sponsored activities.</w:t>
      </w:r>
    </w:p>
    <w:p w:rsidR="000D5B1D" w:rsidRPr="000D5B1D" w:rsidRDefault="000D5B1D" w:rsidP="000D5B1D">
      <w:pPr>
        <w:numPr>
          <w:ilvl w:val="0"/>
          <w:numId w:val="44"/>
        </w:numPr>
        <w:spacing w:before="100" w:beforeAutospacing="1" w:after="100" w:afterAutospacing="1"/>
        <w:rPr>
          <w:rFonts w:asciiTheme="minorHAnsi" w:hAnsiTheme="minorHAnsi"/>
          <w:szCs w:val="20"/>
        </w:rPr>
      </w:pPr>
      <w:r w:rsidRPr="000D5B1D">
        <w:rPr>
          <w:rFonts w:asciiTheme="minorHAnsi" w:hAnsiTheme="minorHAnsi"/>
        </w:rPr>
        <w:lastRenderedPageBreak/>
        <w:t xml:space="preserve">The employee must meet </w:t>
      </w:r>
      <w:r w:rsidRPr="000D5B1D">
        <w:rPr>
          <w:rFonts w:asciiTheme="minorHAnsi" w:hAnsiTheme="minorHAnsi"/>
          <w:u w:val="single"/>
        </w:rPr>
        <w:t>at least one</w:t>
      </w:r>
      <w:r w:rsidRPr="000D5B1D">
        <w:rPr>
          <w:rFonts w:asciiTheme="minorHAnsi" w:hAnsiTheme="minorHAnsi"/>
        </w:rPr>
        <w:t xml:space="preserve"> of the criteria listed below </w:t>
      </w:r>
      <w:r w:rsidRPr="000D5B1D">
        <w:rPr>
          <w:rFonts w:asciiTheme="minorHAnsi" w:hAnsiTheme="minorHAnsi"/>
          <w:szCs w:val="20"/>
        </w:rPr>
        <w:t>(Criteria from the Official Code of Georgia Annotated Section 45-10-25):</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Chaplain</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Fireman</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Dentist</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Certified Oral or Manual Interpreter for Deaf Persons</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Registered Nurse</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Licensed Practical Nurse</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Psychologist</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Teacher or Instructor of an evening or night course or program</w:t>
      </w:r>
    </w:p>
    <w:p w:rsidR="000D5B1D" w:rsidRPr="000D5B1D" w:rsidRDefault="000D5B1D" w:rsidP="004B1975">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Professional holding a doctoral or master</w:t>
      </w:r>
      <w:r w:rsidR="004B1975">
        <w:rPr>
          <w:rFonts w:asciiTheme="minorHAnsi" w:hAnsiTheme="minorHAnsi"/>
          <w:szCs w:val="20"/>
        </w:rPr>
        <w:t>’</w:t>
      </w:r>
      <w:r w:rsidRPr="000D5B1D">
        <w:rPr>
          <w:rFonts w:asciiTheme="minorHAnsi" w:hAnsiTheme="minorHAnsi"/>
          <w:szCs w:val="20"/>
        </w:rPr>
        <w:t>s degree from an accredited college or university</w:t>
      </w:r>
    </w:p>
    <w:p w:rsidR="000D5B1D" w:rsidRPr="000D5B1D" w:rsidRDefault="000D5B1D" w:rsidP="000D5B1D">
      <w:pPr>
        <w:numPr>
          <w:ilvl w:val="1"/>
          <w:numId w:val="44"/>
        </w:numPr>
        <w:spacing w:before="100" w:beforeAutospacing="1" w:after="100" w:afterAutospacing="1"/>
        <w:rPr>
          <w:rFonts w:asciiTheme="minorHAnsi" w:hAnsiTheme="minorHAnsi"/>
          <w:szCs w:val="20"/>
        </w:rPr>
      </w:pPr>
      <w:r w:rsidRPr="000D5B1D">
        <w:rPr>
          <w:rFonts w:asciiTheme="minorHAnsi" w:hAnsiTheme="minorHAnsi"/>
          <w:szCs w:val="20"/>
        </w:rPr>
        <w:t>Part-time employee,</w:t>
      </w:r>
    </w:p>
    <w:p w:rsidR="000D5B1D" w:rsidRPr="000D5B1D" w:rsidRDefault="000D5B1D" w:rsidP="000D5B1D">
      <w:pPr>
        <w:pStyle w:val="NoSpacing"/>
        <w:numPr>
          <w:ilvl w:val="0"/>
          <w:numId w:val="44"/>
        </w:numPr>
        <w:jc w:val="both"/>
        <w:rPr>
          <w:sz w:val="24"/>
        </w:rPr>
      </w:pPr>
      <w:r w:rsidRPr="000D5B1D">
        <w:rPr>
          <w:sz w:val="24"/>
        </w:rPr>
        <w:t>An agreement form (supplemental compensation form) must be completed and signed by the appropriate persons</w:t>
      </w:r>
    </w:p>
    <w:p w:rsidR="000D5B1D" w:rsidRPr="000D5B1D" w:rsidRDefault="000D5B1D" w:rsidP="000D5B1D">
      <w:pPr>
        <w:pStyle w:val="NoSpacing"/>
        <w:ind w:left="1080"/>
        <w:jc w:val="both"/>
        <w:rPr>
          <w:sz w:val="24"/>
        </w:rPr>
      </w:pPr>
    </w:p>
    <w:p w:rsidR="000D5B1D" w:rsidRPr="000D5B1D" w:rsidRDefault="000D5B1D" w:rsidP="000D5B1D">
      <w:pPr>
        <w:pStyle w:val="ListParagraph"/>
        <w:numPr>
          <w:ilvl w:val="1"/>
          <w:numId w:val="49"/>
        </w:numPr>
        <w:jc w:val="both"/>
        <w:rPr>
          <w:rStyle w:val="style941"/>
          <w:rFonts w:ascii="Calibri" w:hAnsi="Calibri" w:cs="Calibri"/>
          <w:b/>
          <w:color w:val="000000"/>
          <w:szCs w:val="22"/>
        </w:rPr>
      </w:pPr>
      <w:r w:rsidRPr="000D5B1D">
        <w:rPr>
          <w:rStyle w:val="style941"/>
          <w:rFonts w:ascii="Calibri" w:hAnsi="Calibri" w:cs="Calibri"/>
          <w:b/>
          <w:color w:val="000000"/>
          <w:szCs w:val="22"/>
        </w:rPr>
        <w:t>Supplemental Requests:</w:t>
      </w:r>
    </w:p>
    <w:p w:rsidR="000E4CFA" w:rsidRDefault="000E4CFA" w:rsidP="000D5B1D">
      <w:pPr>
        <w:ind w:left="360"/>
        <w:jc w:val="both"/>
        <w:rPr>
          <w:rStyle w:val="style941"/>
          <w:rFonts w:ascii="Calibri" w:hAnsi="Calibri" w:cs="Calibri"/>
          <w:color w:val="000000"/>
          <w:szCs w:val="22"/>
        </w:rPr>
      </w:pPr>
    </w:p>
    <w:p w:rsidR="000D5B1D" w:rsidRPr="000D5B1D" w:rsidRDefault="000D5B1D" w:rsidP="000D5B1D">
      <w:pPr>
        <w:ind w:left="360"/>
        <w:jc w:val="both"/>
        <w:rPr>
          <w:rStyle w:val="style941"/>
          <w:rFonts w:ascii="Calibri" w:hAnsi="Calibri" w:cs="Calibri"/>
          <w:color w:val="000000"/>
          <w:szCs w:val="22"/>
        </w:rPr>
      </w:pPr>
      <w:r w:rsidRPr="000D5B1D">
        <w:rPr>
          <w:rStyle w:val="style941"/>
          <w:rFonts w:ascii="Calibri" w:hAnsi="Calibri" w:cs="Calibri"/>
          <w:color w:val="000000"/>
          <w:szCs w:val="22"/>
        </w:rPr>
        <w:t xml:space="preserve">All supplemental compensation requests must be approved before the work is to begin for which compensation is sought.  Work must be incidental in nature to be eligible for pay via supplemental compensation. Work that is long-term in nature would need to be addressed through amendment of the employee’s contract letter.  </w:t>
      </w:r>
    </w:p>
    <w:p w:rsidR="000D5B1D" w:rsidRPr="000D5B1D" w:rsidRDefault="000D5B1D" w:rsidP="000D5B1D">
      <w:pPr>
        <w:spacing w:before="100" w:beforeAutospacing="1" w:after="100" w:afterAutospacing="1"/>
        <w:ind w:left="360"/>
        <w:jc w:val="both"/>
        <w:rPr>
          <w:rFonts w:ascii="Calibri" w:hAnsi="Calibri" w:cs="Calibri"/>
          <w:color w:val="000000"/>
          <w:szCs w:val="22"/>
        </w:rPr>
      </w:pPr>
      <w:r w:rsidRPr="000D5B1D">
        <w:rPr>
          <w:rFonts w:ascii="Calibri" w:hAnsi="Calibri" w:cs="Calibri"/>
          <w:color w:val="000000"/>
          <w:szCs w:val="22"/>
        </w:rPr>
        <w:t xml:space="preserve">All time and effort of the employee (departmental and overload) are to be documented and certified as needed to satisfy requirements of the University, USG BOR, funding agencies, etc. </w:t>
      </w:r>
    </w:p>
    <w:p w:rsidR="000D5B1D" w:rsidRPr="000D5B1D" w:rsidRDefault="000D5B1D" w:rsidP="000D5B1D">
      <w:pPr>
        <w:pStyle w:val="NoSpacing"/>
        <w:numPr>
          <w:ilvl w:val="1"/>
          <w:numId w:val="49"/>
        </w:numPr>
        <w:rPr>
          <w:b/>
          <w:sz w:val="24"/>
        </w:rPr>
      </w:pPr>
      <w:r w:rsidRPr="000D5B1D">
        <w:rPr>
          <w:b/>
          <w:sz w:val="24"/>
        </w:rPr>
        <w:t xml:space="preserve">Academic Year Supplemental Compensation: </w:t>
      </w:r>
    </w:p>
    <w:p w:rsidR="000E4CFA" w:rsidRDefault="000E4CFA" w:rsidP="000D5B1D">
      <w:pPr>
        <w:pStyle w:val="NoSpacing"/>
        <w:ind w:firstLine="360"/>
        <w:rPr>
          <w:sz w:val="24"/>
        </w:rPr>
      </w:pPr>
    </w:p>
    <w:p w:rsidR="000D5B1D" w:rsidRPr="000D5B1D" w:rsidRDefault="000D5B1D" w:rsidP="000D5B1D">
      <w:pPr>
        <w:pStyle w:val="NoSpacing"/>
        <w:ind w:firstLine="360"/>
        <w:rPr>
          <w:sz w:val="24"/>
        </w:rPr>
      </w:pPr>
      <w:r w:rsidRPr="000D5B1D">
        <w:rPr>
          <w:sz w:val="24"/>
        </w:rPr>
        <w:t>Once allowability is met, an amendment for additional pay may not exceed:</w:t>
      </w:r>
    </w:p>
    <w:p w:rsidR="000D5B1D" w:rsidRPr="000D5B1D" w:rsidRDefault="000D5B1D" w:rsidP="000D5B1D">
      <w:pPr>
        <w:pStyle w:val="NoSpacing"/>
        <w:numPr>
          <w:ilvl w:val="0"/>
          <w:numId w:val="46"/>
        </w:numPr>
        <w:rPr>
          <w:sz w:val="24"/>
        </w:rPr>
      </w:pPr>
      <w:r w:rsidRPr="000D5B1D">
        <w:rPr>
          <w:sz w:val="24"/>
        </w:rPr>
        <w:t xml:space="preserve">10% of the institutional academic salary of 10 month salary employees per semester or </w:t>
      </w:r>
    </w:p>
    <w:p w:rsidR="000D5B1D" w:rsidRPr="000D5B1D" w:rsidRDefault="000D5B1D" w:rsidP="000D5B1D">
      <w:pPr>
        <w:pStyle w:val="NoSpacing"/>
        <w:numPr>
          <w:ilvl w:val="0"/>
          <w:numId w:val="46"/>
        </w:numPr>
        <w:rPr>
          <w:sz w:val="24"/>
        </w:rPr>
      </w:pPr>
      <w:r w:rsidRPr="000D5B1D">
        <w:rPr>
          <w:sz w:val="24"/>
        </w:rPr>
        <w:t>7.5% of institutional fiscal salary of 12 month salary employees per semester.</w:t>
      </w:r>
    </w:p>
    <w:p w:rsidR="000D5B1D" w:rsidRPr="000D5B1D" w:rsidRDefault="000D5B1D" w:rsidP="000D5B1D">
      <w:pPr>
        <w:pStyle w:val="NoSpacing"/>
        <w:rPr>
          <w:sz w:val="24"/>
        </w:rPr>
      </w:pPr>
    </w:p>
    <w:p w:rsidR="000D5B1D" w:rsidRPr="000D5B1D" w:rsidRDefault="000D5B1D" w:rsidP="000D5B1D">
      <w:pPr>
        <w:pStyle w:val="NoSpacing"/>
        <w:numPr>
          <w:ilvl w:val="1"/>
          <w:numId w:val="49"/>
        </w:numPr>
        <w:rPr>
          <w:b/>
          <w:sz w:val="24"/>
        </w:rPr>
      </w:pPr>
      <w:r w:rsidRPr="000D5B1D">
        <w:rPr>
          <w:b/>
          <w:sz w:val="24"/>
        </w:rPr>
        <w:t>Summer Supplemental Compensation:</w:t>
      </w:r>
    </w:p>
    <w:p w:rsidR="000E4CFA" w:rsidRDefault="000E4CFA" w:rsidP="000D5B1D">
      <w:pPr>
        <w:pStyle w:val="NoSpacing"/>
        <w:ind w:left="360"/>
        <w:rPr>
          <w:sz w:val="24"/>
        </w:rPr>
      </w:pPr>
    </w:p>
    <w:p w:rsidR="000D5B1D" w:rsidRPr="000D5B1D" w:rsidRDefault="000D5B1D" w:rsidP="000D5B1D">
      <w:pPr>
        <w:pStyle w:val="NoSpacing"/>
        <w:ind w:left="360"/>
        <w:rPr>
          <w:sz w:val="24"/>
        </w:rPr>
      </w:pPr>
      <w:r w:rsidRPr="000D5B1D">
        <w:rPr>
          <w:sz w:val="24"/>
        </w:rPr>
        <w:t xml:space="preserve">10-month faculty members and staff with faculty rank receiving summer pay up to 33.3% of the academic salary will continue having their summer salary submitted to Academic Affairs via their department/college.  </w:t>
      </w:r>
      <w:r w:rsidRPr="000D5B1D">
        <w:rPr>
          <w:rFonts w:cs="Calibri"/>
          <w:color w:val="000000"/>
          <w:sz w:val="24"/>
        </w:rPr>
        <w:t xml:space="preserve">Administrators with faculty rank (Chairs, Deans) may receive additional summer compensation up to 10% of their institutional fiscal salaries from sponsored funds and </w:t>
      </w:r>
      <w:r w:rsidRPr="000D5B1D">
        <w:rPr>
          <w:sz w:val="24"/>
        </w:rPr>
        <w:t>will also continue to submit their summer salary to Academic Affairs</w:t>
      </w:r>
      <w:r w:rsidRPr="000D5B1D">
        <w:rPr>
          <w:rFonts w:cs="Calibri"/>
          <w:color w:val="000000"/>
          <w:sz w:val="24"/>
        </w:rPr>
        <w:t xml:space="preserve">. </w:t>
      </w:r>
      <w:r w:rsidRPr="000D5B1D">
        <w:rPr>
          <w:sz w:val="24"/>
        </w:rPr>
        <w:t xml:space="preserve">A </w:t>
      </w:r>
      <w:r w:rsidRPr="000D5B1D">
        <w:rPr>
          <w:sz w:val="24"/>
        </w:rPr>
        <w:lastRenderedPageBreak/>
        <w:t xml:space="preserve">supplemental compensation amendment form would </w:t>
      </w:r>
      <w:r w:rsidRPr="000D5B1D">
        <w:rPr>
          <w:b/>
          <w:sz w:val="24"/>
          <w:u w:val="single"/>
        </w:rPr>
        <w:t>not</w:t>
      </w:r>
      <w:r w:rsidRPr="000D5B1D">
        <w:rPr>
          <w:sz w:val="24"/>
        </w:rPr>
        <w:t xml:space="preserve"> be completed for these employees during the summer.</w:t>
      </w:r>
    </w:p>
    <w:p w:rsidR="000D5B1D" w:rsidRPr="000D5B1D" w:rsidRDefault="000D5B1D" w:rsidP="000D5B1D">
      <w:pPr>
        <w:pStyle w:val="NoSpacing"/>
        <w:ind w:left="360"/>
        <w:rPr>
          <w:sz w:val="24"/>
        </w:rPr>
      </w:pPr>
    </w:p>
    <w:p w:rsidR="000D5B1D" w:rsidRPr="000D5B1D" w:rsidRDefault="000D5B1D" w:rsidP="000D5B1D">
      <w:pPr>
        <w:pStyle w:val="NoSpacing"/>
        <w:ind w:left="360"/>
        <w:rPr>
          <w:sz w:val="24"/>
        </w:rPr>
      </w:pPr>
      <w:r w:rsidRPr="000D5B1D">
        <w:rPr>
          <w:sz w:val="24"/>
        </w:rPr>
        <w:t xml:space="preserve">Those persons receiving Title III summer pay will continue having their summer salary submitted to Title III via their Activity Director. A supplemental compensation amendment form would </w:t>
      </w:r>
      <w:r w:rsidRPr="000D5B1D">
        <w:rPr>
          <w:b/>
          <w:sz w:val="24"/>
          <w:u w:val="single"/>
        </w:rPr>
        <w:t>not</w:t>
      </w:r>
      <w:r w:rsidRPr="000D5B1D">
        <w:rPr>
          <w:sz w:val="24"/>
        </w:rPr>
        <w:t xml:space="preserve"> be completed for these employees during the summer.</w:t>
      </w:r>
    </w:p>
    <w:p w:rsidR="000D5B1D" w:rsidRPr="000D5B1D" w:rsidRDefault="000D5B1D" w:rsidP="000D5B1D">
      <w:pPr>
        <w:spacing w:before="100" w:beforeAutospacing="1" w:after="100" w:afterAutospacing="1"/>
        <w:ind w:left="360"/>
        <w:jc w:val="both"/>
        <w:rPr>
          <w:rFonts w:ascii="Calibri" w:hAnsi="Calibri" w:cs="Calibri"/>
          <w:color w:val="000000"/>
          <w:szCs w:val="22"/>
        </w:rPr>
      </w:pPr>
      <w:r w:rsidRPr="000D5B1D">
        <w:rPr>
          <w:rFonts w:ascii="Calibri" w:hAnsi="Calibri" w:cs="Calibri"/>
          <w:color w:val="000000"/>
          <w:szCs w:val="22"/>
        </w:rPr>
        <w:t>Eligible staff may receive additional summer compensation up to 7.5% of their institutional fiscal salaries from sponsored funds. A supplemental compensation amendment form would be completed for these employees during the summer.</w:t>
      </w:r>
    </w:p>
    <w:p w:rsidR="000D5B1D" w:rsidRPr="000D5B1D" w:rsidRDefault="000D5B1D" w:rsidP="000D5B1D">
      <w:pPr>
        <w:spacing w:before="100" w:beforeAutospacing="1" w:after="100" w:afterAutospacing="1"/>
        <w:ind w:left="360"/>
        <w:jc w:val="both"/>
        <w:rPr>
          <w:rFonts w:ascii="Calibri" w:hAnsi="Calibri" w:cs="Calibri"/>
          <w:color w:val="000000"/>
          <w:szCs w:val="22"/>
        </w:rPr>
      </w:pPr>
      <w:r w:rsidRPr="000D5B1D">
        <w:rPr>
          <w:rFonts w:ascii="Calibri" w:hAnsi="Calibri" w:cs="Calibri"/>
          <w:color w:val="000000"/>
          <w:szCs w:val="22"/>
        </w:rPr>
        <w:t xml:space="preserve">Title III and other internal funds are excluded, not allowed, as funding sources for additional salaries for administrators during the summer.  </w:t>
      </w:r>
    </w:p>
    <w:p w:rsidR="000E4CFA" w:rsidRDefault="005A3471" w:rsidP="000E4CFA">
      <w:pPr>
        <w:pStyle w:val="NoSpacing"/>
        <w:numPr>
          <w:ilvl w:val="1"/>
          <w:numId w:val="49"/>
        </w:numPr>
        <w:tabs>
          <w:tab w:val="left" w:pos="2204"/>
        </w:tabs>
        <w:rPr>
          <w:rStyle w:val="style941"/>
          <w:rFonts w:cs="Calibri"/>
          <w:b/>
          <w:color w:val="000000"/>
          <w:sz w:val="24"/>
        </w:rPr>
      </w:pPr>
      <w:r>
        <w:rPr>
          <w:rStyle w:val="style941"/>
          <w:rFonts w:cs="Calibri"/>
          <w:b/>
          <w:color w:val="000000"/>
          <w:sz w:val="24"/>
        </w:rPr>
        <w:t>Procedures</w:t>
      </w:r>
    </w:p>
    <w:p w:rsidR="000D5B1D" w:rsidRPr="000D5B1D" w:rsidRDefault="005A3471" w:rsidP="000E4CFA">
      <w:pPr>
        <w:pStyle w:val="NoSpacing"/>
        <w:tabs>
          <w:tab w:val="left" w:pos="2204"/>
        </w:tabs>
        <w:ind w:left="360"/>
        <w:rPr>
          <w:rStyle w:val="style941"/>
          <w:rFonts w:cs="Calibri"/>
          <w:b/>
          <w:color w:val="000000"/>
          <w:sz w:val="24"/>
        </w:rPr>
      </w:pPr>
      <w:r>
        <w:rPr>
          <w:rStyle w:val="style941"/>
          <w:rFonts w:cs="Calibri"/>
          <w:b/>
          <w:color w:val="000000"/>
          <w:sz w:val="24"/>
        </w:rPr>
        <w:tab/>
      </w:r>
    </w:p>
    <w:p w:rsidR="000D5B1D" w:rsidRPr="000D5B1D" w:rsidRDefault="000D5B1D" w:rsidP="000D5B1D">
      <w:pPr>
        <w:pStyle w:val="NoSpacing"/>
        <w:numPr>
          <w:ilvl w:val="0"/>
          <w:numId w:val="45"/>
        </w:numPr>
        <w:ind w:left="360"/>
        <w:jc w:val="both"/>
        <w:rPr>
          <w:sz w:val="24"/>
          <w:szCs w:val="20"/>
        </w:rPr>
      </w:pPr>
      <w:r w:rsidRPr="000D5B1D">
        <w:rPr>
          <w:rStyle w:val="style941"/>
          <w:rFonts w:cs="Calibri"/>
          <w:color w:val="000000"/>
          <w:sz w:val="24"/>
          <w:szCs w:val="20"/>
        </w:rPr>
        <w:t xml:space="preserve">Requests to make and/or receive supplemental compensation, from an external grant or sponsored program, must be for incidental work and must be </w:t>
      </w:r>
      <w:r w:rsidRPr="000D5B1D">
        <w:rPr>
          <w:rStyle w:val="style941"/>
          <w:rFonts w:cs="Calibri"/>
          <w:b/>
          <w:color w:val="000000"/>
          <w:sz w:val="24"/>
          <w:szCs w:val="20"/>
        </w:rPr>
        <w:t>pre-approved prior to any work being assigned or undertaken</w:t>
      </w:r>
      <w:r w:rsidRPr="000D5B1D">
        <w:rPr>
          <w:rStyle w:val="style941"/>
          <w:rFonts w:cs="Calibri"/>
          <w:color w:val="000000"/>
          <w:sz w:val="24"/>
          <w:szCs w:val="20"/>
        </w:rPr>
        <w:t xml:space="preserve">.  </w:t>
      </w:r>
      <w:r w:rsidRPr="000D5B1D">
        <w:rPr>
          <w:sz w:val="24"/>
          <w:szCs w:val="20"/>
        </w:rPr>
        <w:t xml:space="preserve">Written approval </w:t>
      </w:r>
      <w:r w:rsidRPr="000D5B1D">
        <w:rPr>
          <w:rFonts w:cs="LAAKGE+Garamond"/>
          <w:color w:val="000000"/>
          <w:sz w:val="24"/>
          <w:szCs w:val="20"/>
        </w:rPr>
        <w:t xml:space="preserve">must also be provided for in the sponsored agreement or approved in writing by the sponsoring agency (examples might include “consulting” related to statistical work or foreign language assistance, as applicable to specific needs of an award).  Such documentation </w:t>
      </w:r>
      <w:r w:rsidRPr="000D5B1D">
        <w:rPr>
          <w:sz w:val="24"/>
          <w:szCs w:val="20"/>
        </w:rPr>
        <w:t xml:space="preserve">must accompany the submitted supplemental compensation form. </w:t>
      </w:r>
    </w:p>
    <w:p w:rsidR="000D5B1D" w:rsidRPr="000D5B1D" w:rsidRDefault="000D5B1D" w:rsidP="000D5B1D">
      <w:pPr>
        <w:pStyle w:val="NoSpacing"/>
        <w:ind w:left="360"/>
        <w:jc w:val="both"/>
        <w:rPr>
          <w:sz w:val="24"/>
          <w:szCs w:val="20"/>
        </w:rPr>
      </w:pPr>
    </w:p>
    <w:p w:rsidR="000D5B1D" w:rsidRPr="000D5B1D" w:rsidRDefault="000D5B1D" w:rsidP="000D5B1D">
      <w:pPr>
        <w:pStyle w:val="NoSpacing"/>
        <w:numPr>
          <w:ilvl w:val="0"/>
          <w:numId w:val="45"/>
        </w:numPr>
        <w:ind w:left="360"/>
        <w:jc w:val="both"/>
        <w:rPr>
          <w:rStyle w:val="style941"/>
          <w:rFonts w:cs="Calibri"/>
          <w:color w:val="000000"/>
          <w:sz w:val="24"/>
          <w:szCs w:val="20"/>
        </w:rPr>
      </w:pPr>
      <w:r w:rsidRPr="000D5B1D">
        <w:rPr>
          <w:rStyle w:val="style941"/>
          <w:rFonts w:cs="Calibri"/>
          <w:color w:val="000000"/>
          <w:sz w:val="24"/>
          <w:szCs w:val="20"/>
        </w:rPr>
        <w:t xml:space="preserve">The request for payment must be a justifiable expenditure, as documented in the formal grant budget awarded to the University by the external sponsoring agency.  </w:t>
      </w:r>
      <w:r w:rsidRPr="000D5B1D">
        <w:rPr>
          <w:rFonts w:cs="Calibri"/>
          <w:color w:val="000000"/>
          <w:sz w:val="24"/>
          <w:szCs w:val="20"/>
        </w:rPr>
        <w:t xml:space="preserve">The PI/Director is responsible for assuring that the Office of Research and Sponsored Programs (ORSP) and Office of Budgets and Contracts (OBC) have received written approval from the funding agency (agencies) authorizing payment of supplemental compensation as part of the award documents. </w:t>
      </w:r>
    </w:p>
    <w:p w:rsidR="000D5B1D" w:rsidRPr="000D5B1D" w:rsidRDefault="000D5B1D" w:rsidP="000D5B1D">
      <w:pPr>
        <w:pStyle w:val="NoSpacing"/>
        <w:ind w:left="360"/>
        <w:jc w:val="both"/>
        <w:rPr>
          <w:rStyle w:val="style941"/>
          <w:rFonts w:cs="Calibri"/>
          <w:color w:val="000000"/>
          <w:sz w:val="24"/>
          <w:szCs w:val="20"/>
        </w:rPr>
      </w:pPr>
    </w:p>
    <w:p w:rsidR="000D5B1D" w:rsidRPr="000D5B1D" w:rsidRDefault="000D5B1D" w:rsidP="000D5B1D">
      <w:pPr>
        <w:numPr>
          <w:ilvl w:val="0"/>
          <w:numId w:val="45"/>
        </w:numPr>
        <w:ind w:left="360"/>
        <w:jc w:val="both"/>
        <w:rPr>
          <w:rStyle w:val="style941"/>
          <w:rFonts w:ascii="Calibri" w:hAnsi="Calibri" w:cs="Calibri"/>
          <w:color w:val="000000"/>
          <w:szCs w:val="20"/>
        </w:rPr>
      </w:pPr>
      <w:r w:rsidRPr="000D5B1D">
        <w:rPr>
          <w:rStyle w:val="style941"/>
          <w:rFonts w:ascii="Calibri" w:hAnsi="Calibri" w:cs="Calibri"/>
          <w:color w:val="000000"/>
          <w:szCs w:val="20"/>
        </w:rPr>
        <w:t xml:space="preserve">Supplemental compensation forms must be </w:t>
      </w:r>
      <w:r w:rsidRPr="000D5B1D">
        <w:rPr>
          <w:rStyle w:val="style941"/>
          <w:rFonts w:ascii="Calibri" w:hAnsi="Calibri" w:cs="Calibri"/>
          <w:b/>
          <w:color w:val="000000"/>
          <w:szCs w:val="20"/>
        </w:rPr>
        <w:t>submitted 30 days prior to start date of extra service</w:t>
      </w:r>
      <w:r w:rsidRPr="000D5B1D">
        <w:rPr>
          <w:rStyle w:val="style941"/>
          <w:rFonts w:ascii="Calibri" w:hAnsi="Calibri" w:cs="Calibri"/>
          <w:color w:val="000000"/>
          <w:szCs w:val="20"/>
        </w:rPr>
        <w:t>. No extra services should begin or be committed to individuals unless appropriate Administrative approvals are in place and an executed form has been received by the applicant. Exceptions to the 30 days prior approval period may be made depending on appropriate justification.</w:t>
      </w:r>
      <w:r w:rsidRPr="000D5B1D">
        <w:rPr>
          <w:rFonts w:ascii="Calibri" w:hAnsi="Calibri" w:cs="Calibri"/>
          <w:b/>
          <w:szCs w:val="20"/>
        </w:rPr>
        <w:t xml:space="preserve"> </w:t>
      </w:r>
    </w:p>
    <w:p w:rsidR="000D5B1D" w:rsidRPr="000D5B1D" w:rsidRDefault="000D5B1D" w:rsidP="000D5B1D">
      <w:pPr>
        <w:ind w:left="360"/>
        <w:jc w:val="both"/>
        <w:rPr>
          <w:rStyle w:val="style941"/>
          <w:rFonts w:ascii="Calibri" w:hAnsi="Calibri" w:cs="Calibri"/>
          <w:color w:val="000000"/>
          <w:szCs w:val="20"/>
        </w:rPr>
      </w:pPr>
    </w:p>
    <w:p w:rsidR="000D5B1D" w:rsidRPr="000D5B1D" w:rsidRDefault="000D5B1D" w:rsidP="000D5B1D">
      <w:pPr>
        <w:numPr>
          <w:ilvl w:val="0"/>
          <w:numId w:val="45"/>
        </w:numPr>
        <w:ind w:left="360"/>
        <w:jc w:val="both"/>
        <w:rPr>
          <w:rStyle w:val="style941"/>
          <w:rFonts w:ascii="Calibri" w:hAnsi="Calibri" w:cs="Calibri"/>
          <w:color w:val="000000"/>
          <w:szCs w:val="20"/>
        </w:rPr>
      </w:pPr>
      <w:r w:rsidRPr="000D5B1D">
        <w:rPr>
          <w:rStyle w:val="style941"/>
          <w:rFonts w:ascii="Calibri" w:hAnsi="Calibri" w:cs="Calibri"/>
          <w:color w:val="000000"/>
          <w:szCs w:val="20"/>
        </w:rPr>
        <w:t xml:space="preserve">Eligible employees receiving supplemental compensation shall be paid through the institutional payroll system. Such compensation shall be subject to existing IRS regulations as to taxability and/or withholding taxes. However, supplemental compensation does not </w:t>
      </w:r>
      <w:r w:rsidRPr="000D5B1D">
        <w:rPr>
          <w:rStyle w:val="style941"/>
          <w:rFonts w:ascii="Calibri" w:hAnsi="Calibri" w:cs="Calibri"/>
          <w:color w:val="000000"/>
          <w:szCs w:val="20"/>
        </w:rPr>
        <w:lastRenderedPageBreak/>
        <w:t>add to earnings used for retirement calculations and no retirement deductions are taken from supplemental compensation.</w:t>
      </w:r>
    </w:p>
    <w:p w:rsidR="00ED203F" w:rsidRPr="00ED203F" w:rsidRDefault="00ED203F" w:rsidP="00ED203F">
      <w:pPr>
        <w:pStyle w:val="NoSpacing"/>
        <w:jc w:val="both"/>
        <w:rPr>
          <w:rFonts w:asciiTheme="minorHAnsi" w:hAnsiTheme="minorHAnsi" w:cstheme="minorHAnsi"/>
          <w:b/>
          <w:sz w:val="24"/>
          <w:szCs w:val="24"/>
        </w:rPr>
      </w:pPr>
    </w:p>
    <w:p w:rsidR="00AA4110" w:rsidRPr="00ED203F" w:rsidRDefault="00645B42" w:rsidP="00AA4110">
      <w:pPr>
        <w:pStyle w:val="NormalWeb"/>
        <w:spacing w:before="0" w:beforeAutospacing="0" w:after="0" w:afterAutospacing="0"/>
        <w:jc w:val="both"/>
        <w:rPr>
          <w:rFonts w:asciiTheme="minorHAnsi" w:hAnsiTheme="minorHAnsi" w:cstheme="minorHAnsi"/>
          <w:b/>
        </w:rPr>
      </w:pPr>
      <w:r w:rsidRPr="00ED203F">
        <w:rPr>
          <w:rFonts w:asciiTheme="minorHAnsi" w:hAnsiTheme="minorHAnsi" w:cstheme="minorHAnsi"/>
          <w:b/>
        </w:rPr>
        <w:t>6</w:t>
      </w:r>
      <w:r w:rsidR="008770C3" w:rsidRPr="00ED203F">
        <w:rPr>
          <w:rFonts w:asciiTheme="minorHAnsi" w:hAnsiTheme="minorHAnsi" w:cstheme="minorHAnsi"/>
          <w:b/>
        </w:rPr>
        <w:t xml:space="preserve">.0    </w:t>
      </w:r>
      <w:r w:rsidRPr="00ED203F">
        <w:rPr>
          <w:rFonts w:asciiTheme="minorHAnsi" w:hAnsiTheme="minorHAnsi" w:cstheme="minorHAnsi"/>
          <w:b/>
        </w:rPr>
        <w:tab/>
      </w:r>
      <w:r w:rsidR="008770C3" w:rsidRPr="00ED203F">
        <w:rPr>
          <w:rFonts w:asciiTheme="minorHAnsi" w:hAnsiTheme="minorHAnsi" w:cstheme="minorHAnsi"/>
          <w:b/>
        </w:rPr>
        <w:t>Accountability</w:t>
      </w:r>
    </w:p>
    <w:p w:rsidR="007547DC" w:rsidRPr="00ED203F" w:rsidRDefault="007547DC" w:rsidP="00AA4110">
      <w:pPr>
        <w:pStyle w:val="NormalWeb"/>
        <w:spacing w:before="0" w:beforeAutospacing="0" w:after="0" w:afterAutospacing="0"/>
        <w:jc w:val="both"/>
        <w:rPr>
          <w:rFonts w:asciiTheme="minorHAnsi" w:hAnsiTheme="minorHAnsi" w:cstheme="minorHAnsi"/>
        </w:rPr>
      </w:pPr>
    </w:p>
    <w:p w:rsidR="007547DC" w:rsidRDefault="00A13A96" w:rsidP="008770C3">
      <w:pPr>
        <w:pStyle w:val="NormalWeb"/>
        <w:spacing w:before="0" w:beforeAutospacing="0" w:after="0" w:afterAutospacing="0"/>
        <w:jc w:val="both"/>
        <w:rPr>
          <w:rFonts w:asciiTheme="minorHAnsi" w:hAnsiTheme="minorHAnsi" w:cstheme="minorHAnsi"/>
        </w:rPr>
      </w:pPr>
      <w:r w:rsidRPr="00A13A96">
        <w:rPr>
          <w:rFonts w:asciiTheme="minorHAnsi" w:hAnsiTheme="minorHAnsi" w:cstheme="minorHAnsi"/>
        </w:rPr>
        <w:t>The Office of Research and Sponsored Programs under the supervision of the Office of Academic Affairs</w:t>
      </w:r>
    </w:p>
    <w:p w:rsidR="00A13A96" w:rsidRPr="00ED203F" w:rsidRDefault="00A13A96" w:rsidP="008770C3">
      <w:pPr>
        <w:pStyle w:val="NormalWeb"/>
        <w:spacing w:before="0" w:beforeAutospacing="0" w:after="0" w:afterAutospacing="0"/>
        <w:jc w:val="both"/>
        <w:rPr>
          <w:rFonts w:asciiTheme="minorHAnsi" w:hAnsiTheme="minorHAnsi" w:cstheme="minorHAnsi"/>
          <w:b/>
        </w:rPr>
      </w:pPr>
    </w:p>
    <w:p w:rsidR="008770C3" w:rsidRPr="00ED203F" w:rsidRDefault="00645B42" w:rsidP="008770C3">
      <w:pPr>
        <w:pStyle w:val="NormalWeb"/>
        <w:spacing w:before="0" w:beforeAutospacing="0" w:after="0" w:afterAutospacing="0"/>
        <w:jc w:val="both"/>
        <w:rPr>
          <w:rFonts w:asciiTheme="minorHAnsi" w:hAnsiTheme="minorHAnsi" w:cstheme="minorHAnsi"/>
          <w:b/>
        </w:rPr>
      </w:pPr>
      <w:r w:rsidRPr="00ED203F">
        <w:rPr>
          <w:rFonts w:asciiTheme="minorHAnsi" w:hAnsiTheme="minorHAnsi" w:cstheme="minorHAnsi"/>
          <w:b/>
        </w:rPr>
        <w:t>7</w:t>
      </w:r>
      <w:r w:rsidR="008770C3" w:rsidRPr="00ED203F">
        <w:rPr>
          <w:rFonts w:asciiTheme="minorHAnsi" w:hAnsiTheme="minorHAnsi" w:cstheme="minorHAnsi"/>
          <w:b/>
        </w:rPr>
        <w:t xml:space="preserve">.0    </w:t>
      </w:r>
      <w:r w:rsidRPr="00ED203F">
        <w:rPr>
          <w:rFonts w:asciiTheme="minorHAnsi" w:hAnsiTheme="minorHAnsi" w:cstheme="minorHAnsi"/>
          <w:b/>
        </w:rPr>
        <w:tab/>
      </w:r>
      <w:r w:rsidR="008770C3" w:rsidRPr="00ED203F">
        <w:rPr>
          <w:rFonts w:asciiTheme="minorHAnsi" w:hAnsiTheme="minorHAnsi" w:cstheme="minorHAnsi"/>
          <w:b/>
        </w:rPr>
        <w:t xml:space="preserve">Contacts </w:t>
      </w:r>
    </w:p>
    <w:p w:rsidR="007547DC" w:rsidRPr="00ED203F" w:rsidRDefault="007547DC" w:rsidP="008770C3">
      <w:pPr>
        <w:rPr>
          <w:rFonts w:asciiTheme="minorHAnsi" w:hAnsiTheme="minorHAnsi" w:cstheme="minorHAnsi"/>
        </w:rPr>
      </w:pPr>
    </w:p>
    <w:p w:rsidR="00A13A96" w:rsidRPr="00A13A96" w:rsidRDefault="00A13A96" w:rsidP="00A13A96">
      <w:pPr>
        <w:rPr>
          <w:rFonts w:asciiTheme="minorHAnsi" w:hAnsiTheme="minorHAnsi" w:cstheme="minorHAnsi"/>
        </w:rPr>
      </w:pPr>
      <w:r w:rsidRPr="00A13A96">
        <w:rPr>
          <w:rFonts w:asciiTheme="minorHAnsi" w:hAnsiTheme="minorHAnsi" w:cstheme="minorHAnsi"/>
        </w:rPr>
        <w:t>Provost/ Vice President for Academic Affairs</w:t>
      </w:r>
    </w:p>
    <w:p w:rsidR="00A13A96" w:rsidRPr="00A13A96" w:rsidRDefault="00A13A96" w:rsidP="00A13A96">
      <w:pPr>
        <w:rPr>
          <w:rFonts w:asciiTheme="minorHAnsi" w:hAnsiTheme="minorHAnsi" w:cstheme="minorHAnsi"/>
        </w:rPr>
      </w:pPr>
      <w:r w:rsidRPr="00A13A96">
        <w:rPr>
          <w:rFonts w:asciiTheme="minorHAnsi" w:hAnsiTheme="minorHAnsi" w:cstheme="minorHAnsi"/>
        </w:rPr>
        <w:t>Associate Provost for Research and Sponsored Programs</w:t>
      </w:r>
    </w:p>
    <w:p w:rsidR="00A13A96" w:rsidRPr="00A13A96" w:rsidRDefault="00A13A96" w:rsidP="00A13A96">
      <w:pPr>
        <w:rPr>
          <w:rFonts w:asciiTheme="minorHAnsi" w:hAnsiTheme="minorHAnsi" w:cstheme="minorHAnsi"/>
        </w:rPr>
      </w:pPr>
      <w:r w:rsidRPr="00A13A96">
        <w:rPr>
          <w:rFonts w:asciiTheme="minorHAnsi" w:hAnsiTheme="minorHAnsi" w:cstheme="minorHAnsi"/>
        </w:rPr>
        <w:t>Director of Sponsored Programs</w:t>
      </w:r>
    </w:p>
    <w:p w:rsidR="00A13A96" w:rsidRPr="00A13A96" w:rsidRDefault="00A13A96" w:rsidP="00A13A96">
      <w:pPr>
        <w:rPr>
          <w:rFonts w:asciiTheme="minorHAnsi" w:hAnsiTheme="minorHAnsi" w:cstheme="minorHAnsi"/>
        </w:rPr>
      </w:pPr>
      <w:r w:rsidRPr="00A13A96">
        <w:rPr>
          <w:rFonts w:asciiTheme="minorHAnsi" w:hAnsiTheme="minorHAnsi" w:cstheme="minorHAnsi"/>
        </w:rPr>
        <w:t>Research Compliance Officer</w:t>
      </w:r>
    </w:p>
    <w:p w:rsidR="000E4CFA" w:rsidRDefault="00645B42">
      <w:pPr>
        <w:pStyle w:val="Heading1"/>
      </w:pPr>
      <w:r w:rsidRPr="00795D70">
        <w:rPr>
          <w:rFonts w:asciiTheme="minorHAnsi" w:hAnsiTheme="minorHAnsi" w:cstheme="minorHAnsi"/>
          <w:color w:val="auto"/>
          <w:sz w:val="24"/>
          <w:szCs w:val="24"/>
        </w:rPr>
        <w:t>8</w:t>
      </w:r>
      <w:r w:rsidR="008770C3" w:rsidRPr="00795D70">
        <w:rPr>
          <w:rFonts w:asciiTheme="minorHAnsi" w:hAnsiTheme="minorHAnsi" w:cstheme="minorHAnsi"/>
          <w:color w:val="auto"/>
          <w:sz w:val="24"/>
          <w:szCs w:val="24"/>
        </w:rPr>
        <w:t xml:space="preserve">.0      References </w:t>
      </w:r>
    </w:p>
    <w:sdt>
      <w:sdtPr>
        <w:rPr>
          <w:rFonts w:ascii="Times New Roman" w:eastAsia="Times New Roman" w:hAnsi="Times New Roman" w:cs="Times New Roman"/>
          <w:b w:val="0"/>
          <w:bCs w:val="0"/>
          <w:color w:val="auto"/>
          <w:sz w:val="24"/>
          <w:szCs w:val="24"/>
          <w:lang w:eastAsia="en-US"/>
        </w:rPr>
        <w:id w:val="-1242863465"/>
        <w:docPartObj>
          <w:docPartGallery w:val="Bibliographies"/>
          <w:docPartUnique/>
        </w:docPartObj>
      </w:sdtPr>
      <w:sdtEndPr>
        <w:rPr>
          <w:rFonts w:asciiTheme="minorHAnsi" w:hAnsiTheme="minorHAnsi" w:cstheme="minorHAnsi"/>
        </w:rPr>
      </w:sdtEndPr>
      <w:sdtContent>
        <w:p w:rsidR="000E4CFA" w:rsidRDefault="000E4CFA">
          <w:pPr>
            <w:pStyle w:val="Heading1"/>
          </w:pPr>
        </w:p>
        <w:sdt>
          <w:sdtPr>
            <w:id w:val="111145805"/>
            <w:bibliography/>
          </w:sdtPr>
          <w:sdtEndPr>
            <w:rPr>
              <w:rFonts w:asciiTheme="minorHAnsi" w:hAnsiTheme="minorHAnsi" w:cstheme="minorHAnsi"/>
            </w:rPr>
          </w:sdtEndPr>
          <w:sdtContent>
            <w:p w:rsidR="00D6718B" w:rsidRDefault="000E4CFA" w:rsidP="00D6718B">
              <w:pPr>
                <w:pStyle w:val="Bibliography"/>
                <w:ind w:left="720"/>
                <w:rPr>
                  <w:rFonts w:asciiTheme="minorHAnsi" w:hAnsiTheme="minorHAnsi" w:cstheme="minorHAnsi"/>
                  <w:noProof/>
                </w:rPr>
              </w:pPr>
              <w:r w:rsidRPr="00D6718B">
                <w:rPr>
                  <w:rFonts w:asciiTheme="minorHAnsi" w:hAnsiTheme="minorHAnsi" w:cstheme="minorHAnsi"/>
                </w:rPr>
                <w:fldChar w:fldCharType="begin"/>
              </w:r>
              <w:r w:rsidRPr="00D6718B">
                <w:rPr>
                  <w:rFonts w:asciiTheme="minorHAnsi" w:hAnsiTheme="minorHAnsi" w:cstheme="minorHAnsi"/>
                </w:rPr>
                <w:instrText xml:space="preserve"> BIBLIOGRAPHY </w:instrText>
              </w:r>
              <w:r w:rsidRPr="00D6718B">
                <w:rPr>
                  <w:rFonts w:asciiTheme="minorHAnsi" w:hAnsiTheme="minorHAnsi" w:cstheme="minorHAnsi"/>
                </w:rPr>
                <w:fldChar w:fldCharType="separate"/>
              </w:r>
              <w:r w:rsidRPr="00D6718B">
                <w:rPr>
                  <w:rFonts w:asciiTheme="minorHAnsi" w:hAnsiTheme="minorHAnsi" w:cstheme="minorHAnsi"/>
                  <w:noProof/>
                </w:rPr>
                <w:t xml:space="preserve">Office of Management and Budget. (2004, May 10). </w:t>
              </w:r>
              <w:r w:rsidRPr="00D6718B">
                <w:rPr>
                  <w:rFonts w:asciiTheme="minorHAnsi" w:hAnsiTheme="minorHAnsi" w:cstheme="minorHAnsi"/>
                  <w:i/>
                  <w:iCs/>
                  <w:noProof/>
                </w:rPr>
                <w:t>Circular A-21</w:t>
              </w:r>
              <w:r w:rsidR="00D6718B">
                <w:rPr>
                  <w:rFonts w:asciiTheme="minorHAnsi" w:hAnsiTheme="minorHAnsi" w:cstheme="minorHAnsi"/>
                  <w:noProof/>
                </w:rPr>
                <w:t>. Retrieved July 23,</w:t>
              </w:r>
            </w:p>
            <w:p w:rsidR="000E4CFA" w:rsidRPr="00D6718B" w:rsidRDefault="00D6718B" w:rsidP="00D6718B">
              <w:pPr>
                <w:pStyle w:val="Bibliography"/>
                <w:rPr>
                  <w:rFonts w:asciiTheme="minorHAnsi" w:hAnsiTheme="minorHAnsi" w:cstheme="minorHAnsi"/>
                  <w:noProof/>
                </w:rPr>
              </w:pPr>
              <w:r>
                <w:rPr>
                  <w:rFonts w:asciiTheme="minorHAnsi" w:hAnsiTheme="minorHAnsi" w:cstheme="minorHAnsi"/>
                  <w:noProof/>
                </w:rPr>
                <w:t xml:space="preserve">2012, from </w:t>
              </w:r>
              <w:r w:rsidR="000E4CFA" w:rsidRPr="00D6718B">
                <w:rPr>
                  <w:rFonts w:asciiTheme="minorHAnsi" w:hAnsiTheme="minorHAnsi" w:cstheme="minorHAnsi"/>
                  <w:noProof/>
                </w:rPr>
                <w:t>Office of Management and Budget: http://www.whitehouse.gov/omb/circulars_a021_2004</w:t>
              </w:r>
            </w:p>
            <w:p w:rsidR="00D6718B" w:rsidRDefault="00D6718B" w:rsidP="000E4CFA">
              <w:pPr>
                <w:pStyle w:val="Bibliography"/>
                <w:ind w:left="720" w:hanging="720"/>
                <w:rPr>
                  <w:rFonts w:asciiTheme="minorHAnsi" w:hAnsiTheme="minorHAnsi" w:cstheme="minorHAnsi"/>
                  <w:noProof/>
                </w:rPr>
              </w:pPr>
            </w:p>
            <w:p w:rsidR="000E4CFA" w:rsidRPr="00D6718B" w:rsidRDefault="000E4CFA" w:rsidP="00D6718B">
              <w:pPr>
                <w:pStyle w:val="Bibliography"/>
                <w:ind w:firstLine="720"/>
                <w:rPr>
                  <w:rFonts w:asciiTheme="minorHAnsi" w:hAnsiTheme="minorHAnsi" w:cstheme="minorHAnsi"/>
                  <w:noProof/>
                </w:rPr>
              </w:pPr>
              <w:r w:rsidRPr="00D6718B">
                <w:rPr>
                  <w:rFonts w:asciiTheme="minorHAnsi" w:hAnsiTheme="minorHAnsi" w:cstheme="minorHAnsi"/>
                  <w:noProof/>
                </w:rPr>
                <w:t xml:space="preserve">Relations, Council On Government. (2007, March 1). </w:t>
              </w:r>
              <w:r w:rsidRPr="00D6718B">
                <w:rPr>
                  <w:rFonts w:asciiTheme="minorHAnsi" w:hAnsiTheme="minorHAnsi" w:cstheme="minorHAnsi"/>
                  <w:i/>
                  <w:iCs/>
                  <w:noProof/>
                </w:rPr>
                <w:t>Compens</w:t>
              </w:r>
              <w:r w:rsidR="00D6718B">
                <w:rPr>
                  <w:rFonts w:asciiTheme="minorHAnsi" w:hAnsiTheme="minorHAnsi" w:cstheme="minorHAnsi"/>
                  <w:i/>
                  <w:iCs/>
                  <w:noProof/>
                </w:rPr>
                <w:t xml:space="preserve">ation, Effort Committments, and </w:t>
              </w:r>
              <w:r w:rsidRPr="00D6718B">
                <w:rPr>
                  <w:rFonts w:asciiTheme="minorHAnsi" w:hAnsiTheme="minorHAnsi" w:cstheme="minorHAnsi"/>
                  <w:i/>
                  <w:iCs/>
                  <w:noProof/>
                </w:rPr>
                <w:t>Certifications.</w:t>
              </w:r>
              <w:r w:rsidRPr="00D6718B">
                <w:rPr>
                  <w:rFonts w:asciiTheme="minorHAnsi" w:hAnsiTheme="minorHAnsi" w:cstheme="minorHAnsi"/>
                  <w:noProof/>
                </w:rPr>
                <w:t xml:space="preserve"> Retrieved August 20, 2013, from C</w:t>
              </w:r>
              <w:r w:rsidR="00D6718B">
                <w:rPr>
                  <w:rFonts w:asciiTheme="minorHAnsi" w:hAnsiTheme="minorHAnsi" w:cstheme="minorHAnsi"/>
                  <w:noProof/>
                </w:rPr>
                <w:t xml:space="preserve">ouncil On Government Relations: </w:t>
              </w:r>
              <w:r w:rsidRPr="00D6718B">
                <w:rPr>
                  <w:rFonts w:asciiTheme="minorHAnsi" w:hAnsiTheme="minorHAnsi" w:cstheme="minorHAnsi"/>
                  <w:noProof/>
                </w:rPr>
                <w:t>https://www.rsp.wisc.edu/effort/COGR_EffortPaper.pdf</w:t>
              </w:r>
              <w:r w:rsidR="00D6718B">
                <w:rPr>
                  <w:rFonts w:asciiTheme="minorHAnsi" w:hAnsiTheme="minorHAnsi" w:cstheme="minorHAnsi"/>
                  <w:noProof/>
                </w:rPr>
                <w:t xml:space="preserve"> </w:t>
              </w:r>
            </w:p>
            <w:p w:rsidR="00D6718B" w:rsidRDefault="00D6718B" w:rsidP="00D6718B">
              <w:pPr>
                <w:pStyle w:val="Bibliography"/>
                <w:ind w:hanging="720"/>
                <w:rPr>
                  <w:rFonts w:asciiTheme="minorHAnsi" w:hAnsiTheme="minorHAnsi" w:cstheme="minorHAnsi"/>
                  <w:noProof/>
                </w:rPr>
              </w:pPr>
            </w:p>
            <w:p w:rsidR="000E4CFA" w:rsidRPr="00D6718B" w:rsidRDefault="000E4CFA" w:rsidP="00D6718B">
              <w:pPr>
                <w:pStyle w:val="Bibliography"/>
                <w:ind w:firstLine="720"/>
                <w:rPr>
                  <w:rFonts w:asciiTheme="minorHAnsi" w:hAnsiTheme="minorHAnsi" w:cstheme="minorHAnsi"/>
                  <w:noProof/>
                </w:rPr>
              </w:pPr>
              <w:r w:rsidRPr="00D6718B">
                <w:rPr>
                  <w:rFonts w:asciiTheme="minorHAnsi" w:hAnsiTheme="minorHAnsi" w:cstheme="minorHAnsi"/>
                  <w:noProof/>
                </w:rPr>
                <w:t xml:space="preserve">University Systems of Georgia. (n.d.). </w:t>
              </w:r>
              <w:r w:rsidRPr="00D6718B">
                <w:rPr>
                  <w:rFonts w:asciiTheme="minorHAnsi" w:hAnsiTheme="minorHAnsi" w:cstheme="minorHAnsi"/>
                  <w:i/>
                  <w:iCs/>
                  <w:noProof/>
                </w:rPr>
                <w:t>Board of Regents Policy Manual.</w:t>
              </w:r>
              <w:r w:rsidRPr="00D6718B">
                <w:rPr>
                  <w:rFonts w:asciiTheme="minorHAnsi" w:hAnsiTheme="minorHAnsi" w:cstheme="minorHAnsi"/>
                  <w:noProof/>
                </w:rPr>
                <w:t xml:space="preserve"> Retrieved Ma</w:t>
              </w:r>
              <w:r w:rsidR="00D6718B">
                <w:rPr>
                  <w:rFonts w:asciiTheme="minorHAnsi" w:hAnsiTheme="minorHAnsi" w:cstheme="minorHAnsi"/>
                  <w:noProof/>
                </w:rPr>
                <w:t xml:space="preserve">rch 2013, </w:t>
              </w:r>
              <w:r w:rsidRPr="00D6718B">
                <w:rPr>
                  <w:rFonts w:asciiTheme="minorHAnsi" w:hAnsiTheme="minorHAnsi" w:cstheme="minorHAnsi"/>
                  <w:noProof/>
                </w:rPr>
                <w:t>from University Systems of Georgia: http://www.usg.edu/policymanual/section8/C245/</w:t>
              </w:r>
            </w:p>
            <w:p w:rsidR="00D6718B" w:rsidRDefault="00D6718B" w:rsidP="000E4CFA">
              <w:pPr>
                <w:pStyle w:val="Bibliography"/>
                <w:ind w:left="720" w:hanging="720"/>
                <w:rPr>
                  <w:rFonts w:asciiTheme="minorHAnsi" w:hAnsiTheme="minorHAnsi" w:cstheme="minorHAnsi"/>
                  <w:noProof/>
                </w:rPr>
              </w:pPr>
            </w:p>
            <w:p w:rsidR="00D6718B" w:rsidRDefault="000E4CFA" w:rsidP="00D6718B">
              <w:pPr>
                <w:pStyle w:val="Bibliography"/>
                <w:ind w:firstLine="720"/>
                <w:rPr>
                  <w:rFonts w:asciiTheme="minorHAnsi" w:hAnsiTheme="minorHAnsi" w:cstheme="minorHAnsi"/>
                  <w:noProof/>
                </w:rPr>
              </w:pPr>
              <w:r w:rsidRPr="00D6718B">
                <w:rPr>
                  <w:rFonts w:asciiTheme="minorHAnsi" w:hAnsiTheme="minorHAnsi" w:cstheme="minorHAnsi"/>
                  <w:noProof/>
                </w:rPr>
                <w:t xml:space="preserve">University Systems of Georgia. (n.d.). </w:t>
              </w:r>
              <w:r w:rsidRPr="00D6718B">
                <w:rPr>
                  <w:rFonts w:asciiTheme="minorHAnsi" w:hAnsiTheme="minorHAnsi" w:cstheme="minorHAnsi"/>
                  <w:i/>
                  <w:iCs/>
                  <w:noProof/>
                </w:rPr>
                <w:t>Business Procedures Manual.</w:t>
              </w:r>
              <w:r w:rsidR="00D6718B">
                <w:rPr>
                  <w:rFonts w:asciiTheme="minorHAnsi" w:hAnsiTheme="minorHAnsi" w:cstheme="minorHAnsi"/>
                  <w:noProof/>
                </w:rPr>
                <w:t xml:space="preserve"> Retrieved March 2013, from University Systems of Georgia:</w:t>
              </w:r>
            </w:p>
            <w:p w:rsidR="000E4CFA" w:rsidRPr="00D6718B" w:rsidRDefault="00D6718B" w:rsidP="00D6718B">
              <w:pPr>
                <w:pStyle w:val="Bibliography"/>
                <w:rPr>
                  <w:rFonts w:asciiTheme="minorHAnsi" w:hAnsiTheme="minorHAnsi" w:cstheme="minorHAnsi"/>
                  <w:noProof/>
                </w:rPr>
              </w:pPr>
              <w:r>
                <w:rPr>
                  <w:rFonts w:asciiTheme="minorHAnsi" w:hAnsiTheme="minorHAnsi" w:cstheme="minorHAnsi"/>
                  <w:noProof/>
                </w:rPr>
                <w:t>h</w:t>
              </w:r>
              <w:r w:rsidR="000E4CFA" w:rsidRPr="00D6718B">
                <w:rPr>
                  <w:rFonts w:asciiTheme="minorHAnsi" w:hAnsiTheme="minorHAnsi" w:cstheme="minorHAnsi"/>
                  <w:noProof/>
                </w:rPr>
                <w:t>ttp://www.usg.edu/business_procedures_manual/section5/C1235</w:t>
              </w:r>
              <w:r>
                <w:rPr>
                  <w:rFonts w:asciiTheme="minorHAnsi" w:hAnsiTheme="minorHAnsi" w:cstheme="minorHAnsi"/>
                  <w:noProof/>
                </w:rPr>
                <w:t xml:space="preserve"> </w:t>
              </w:r>
            </w:p>
            <w:p w:rsidR="000E4CFA" w:rsidRPr="00D6718B" w:rsidRDefault="000E4CFA" w:rsidP="000E4CFA">
              <w:pPr>
                <w:rPr>
                  <w:rFonts w:asciiTheme="minorHAnsi" w:hAnsiTheme="minorHAnsi" w:cstheme="minorHAnsi"/>
                </w:rPr>
              </w:pPr>
              <w:r w:rsidRPr="00D6718B">
                <w:rPr>
                  <w:rFonts w:asciiTheme="minorHAnsi" w:hAnsiTheme="minorHAnsi" w:cstheme="minorHAnsi"/>
                  <w:b/>
                  <w:bCs/>
                  <w:noProof/>
                </w:rPr>
                <w:fldChar w:fldCharType="end"/>
              </w:r>
            </w:p>
          </w:sdtContent>
        </w:sdt>
      </w:sdtContent>
    </w:sdt>
    <w:p w:rsidR="001E096E" w:rsidRPr="00ED203F" w:rsidRDefault="001E096E" w:rsidP="001E096E">
      <w:pPr>
        <w:pStyle w:val="NormalWeb"/>
        <w:spacing w:before="0" w:beforeAutospacing="0" w:after="0" w:afterAutospacing="0"/>
        <w:jc w:val="both"/>
        <w:rPr>
          <w:rFonts w:asciiTheme="minorHAnsi" w:hAnsiTheme="minorHAnsi" w:cstheme="minorHAnsi"/>
          <w:b/>
        </w:rPr>
      </w:pPr>
    </w:p>
    <w:p w:rsidR="00AA4110" w:rsidRPr="00ED203F" w:rsidRDefault="00AA4110" w:rsidP="00AA4110">
      <w:pPr>
        <w:pStyle w:val="NormalWeb"/>
        <w:spacing w:before="0" w:beforeAutospacing="0" w:after="0" w:afterAutospacing="0"/>
        <w:jc w:val="both"/>
        <w:rPr>
          <w:rFonts w:asciiTheme="minorHAnsi" w:hAnsiTheme="minorHAnsi" w:cstheme="minorHAnsi"/>
          <w:b/>
        </w:rPr>
      </w:pPr>
      <w:r w:rsidRPr="00ED203F">
        <w:rPr>
          <w:rFonts w:asciiTheme="minorHAnsi" w:hAnsiTheme="minorHAnsi" w:cstheme="minorHAnsi"/>
          <w:b/>
        </w:rPr>
        <w:t>9.0      Last Update</w:t>
      </w:r>
    </w:p>
    <w:p w:rsidR="007547DC" w:rsidRPr="00ED203F" w:rsidRDefault="007547DC" w:rsidP="00AA4110">
      <w:pPr>
        <w:pStyle w:val="NormalWeb"/>
        <w:spacing w:before="0" w:beforeAutospacing="0" w:after="0" w:afterAutospacing="0"/>
        <w:jc w:val="both"/>
        <w:rPr>
          <w:rFonts w:asciiTheme="minorHAnsi" w:hAnsiTheme="minorHAnsi" w:cstheme="minorHAnsi"/>
        </w:rPr>
      </w:pPr>
    </w:p>
    <w:p w:rsidR="00AA4110" w:rsidRPr="00ED203F" w:rsidRDefault="00AA4110" w:rsidP="00AA4110">
      <w:pPr>
        <w:pStyle w:val="NormalWeb"/>
        <w:spacing w:before="0" w:beforeAutospacing="0" w:after="0" w:afterAutospacing="0"/>
        <w:jc w:val="both"/>
        <w:rPr>
          <w:rFonts w:asciiTheme="minorHAnsi" w:hAnsiTheme="minorHAnsi" w:cstheme="minorHAnsi"/>
        </w:rPr>
      </w:pPr>
      <w:r w:rsidRPr="00ED203F">
        <w:rPr>
          <w:rFonts w:asciiTheme="minorHAnsi" w:hAnsiTheme="minorHAnsi" w:cstheme="minorHAnsi"/>
        </w:rPr>
        <w:t>February 5, 2014</w:t>
      </w:r>
    </w:p>
    <w:sectPr w:rsidR="00AA4110" w:rsidRPr="00ED203F" w:rsidSect="005747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9B" w:rsidRDefault="009B729B">
      <w:r>
        <w:separator/>
      </w:r>
    </w:p>
  </w:endnote>
  <w:endnote w:type="continuationSeparator" w:id="0">
    <w:p w:rsidR="009B729B" w:rsidRDefault="009B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ALMF+Garamond,Italic">
    <w:altName w:val="Garamond"/>
    <w:panose1 w:val="00000000000000000000"/>
    <w:charset w:val="00"/>
    <w:family w:val="roman"/>
    <w:notTrueType/>
    <w:pitch w:val="default"/>
    <w:sig w:usb0="00000003" w:usb1="00000000" w:usb2="00000000" w:usb3="00000000" w:csb0="00000001" w:csb1="00000000"/>
  </w:font>
  <w:font w:name="LAAKGE+Garamond">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E7" w:rsidRPr="004158B7" w:rsidRDefault="00A24FE7">
    <w:pPr>
      <w:pStyle w:val="Footer"/>
      <w:rPr>
        <w:rFonts w:ascii="Arial Narrow" w:hAnsi="Arial Narrow"/>
      </w:rPr>
    </w:pPr>
    <w:r w:rsidRPr="004158B7">
      <w:rPr>
        <w:rFonts w:ascii="Arial Narrow" w:hAnsi="Arial Narrow"/>
      </w:rPr>
      <w:t xml:space="preserve">ASU </w:t>
    </w:r>
    <w:r w:rsidR="00795D70">
      <w:rPr>
        <w:rFonts w:ascii="Arial Narrow" w:hAnsi="Arial Narrow"/>
      </w:rPr>
      <w:t xml:space="preserve">Time and Effort </w:t>
    </w:r>
    <w:r w:rsidRPr="004158B7">
      <w:rPr>
        <w:rFonts w:ascii="Arial Narrow" w:hAnsi="Arial Narrow"/>
      </w:rPr>
      <w:t>Policy</w:t>
    </w:r>
    <w:r w:rsidRPr="004158B7">
      <w:rPr>
        <w:rFonts w:ascii="Arial Narrow" w:hAnsi="Arial Narrow"/>
      </w:rPr>
      <w:tab/>
      <w:t xml:space="preserve">Page </w:t>
    </w:r>
    <w:r w:rsidRPr="004158B7">
      <w:rPr>
        <w:rFonts w:ascii="Arial Narrow" w:hAnsi="Arial Narrow"/>
      </w:rPr>
      <w:fldChar w:fldCharType="begin"/>
    </w:r>
    <w:r w:rsidRPr="004158B7">
      <w:rPr>
        <w:rFonts w:ascii="Arial Narrow" w:hAnsi="Arial Narrow"/>
      </w:rPr>
      <w:instrText xml:space="preserve"> PAGE </w:instrText>
    </w:r>
    <w:r w:rsidRPr="004158B7">
      <w:rPr>
        <w:rFonts w:ascii="Arial Narrow" w:hAnsi="Arial Narrow"/>
      </w:rPr>
      <w:fldChar w:fldCharType="separate"/>
    </w:r>
    <w:r w:rsidR="007F1B2A">
      <w:rPr>
        <w:rFonts w:ascii="Arial Narrow" w:hAnsi="Arial Narrow"/>
        <w:noProof/>
      </w:rPr>
      <w:t>2</w:t>
    </w:r>
    <w:r w:rsidRPr="004158B7">
      <w:rPr>
        <w:rFonts w:ascii="Arial Narrow" w:hAnsi="Arial Narrow"/>
      </w:rPr>
      <w:fldChar w:fldCharType="end"/>
    </w:r>
    <w:r w:rsidRPr="004158B7">
      <w:rPr>
        <w:rFonts w:ascii="Arial Narrow" w:hAnsi="Arial Narrow"/>
      </w:rPr>
      <w:t xml:space="preserve"> of </w:t>
    </w:r>
    <w:r w:rsidRPr="004158B7">
      <w:rPr>
        <w:rFonts w:ascii="Arial Narrow" w:hAnsi="Arial Narrow"/>
      </w:rPr>
      <w:fldChar w:fldCharType="begin"/>
    </w:r>
    <w:r w:rsidRPr="004158B7">
      <w:rPr>
        <w:rFonts w:ascii="Arial Narrow" w:hAnsi="Arial Narrow"/>
      </w:rPr>
      <w:instrText xml:space="preserve"> NUMPAGES </w:instrText>
    </w:r>
    <w:r w:rsidRPr="004158B7">
      <w:rPr>
        <w:rFonts w:ascii="Arial Narrow" w:hAnsi="Arial Narrow"/>
      </w:rPr>
      <w:fldChar w:fldCharType="separate"/>
    </w:r>
    <w:r w:rsidR="007F1B2A">
      <w:rPr>
        <w:rFonts w:ascii="Arial Narrow" w:hAnsi="Arial Narrow"/>
        <w:noProof/>
      </w:rPr>
      <w:t>5</w:t>
    </w:r>
    <w:r w:rsidRPr="004158B7">
      <w:rPr>
        <w:rFonts w:ascii="Arial Narrow" w:hAnsi="Arial Narrow"/>
      </w:rPr>
      <w:fldChar w:fldCharType="end"/>
    </w:r>
    <w:r w:rsidRPr="004158B7">
      <w:rPr>
        <w:rFonts w:ascii="Arial Narrow" w:hAnsi="Arial Narrow"/>
      </w:rPr>
      <w:tab/>
      <w:t xml:space="preserve">Last Revised </w:t>
    </w:r>
    <w:r w:rsidRPr="004158B7">
      <w:rPr>
        <w:rFonts w:ascii="Arial Narrow" w:hAnsi="Arial Narrow"/>
      </w:rPr>
      <w:fldChar w:fldCharType="begin"/>
    </w:r>
    <w:r w:rsidRPr="004158B7">
      <w:rPr>
        <w:rFonts w:ascii="Arial Narrow" w:hAnsi="Arial Narrow"/>
      </w:rPr>
      <w:instrText xml:space="preserve"> DATE  \@ "MMMM yyyy"  \* MERGEFORMAT </w:instrText>
    </w:r>
    <w:r w:rsidRPr="004158B7">
      <w:rPr>
        <w:rFonts w:ascii="Arial Narrow" w:hAnsi="Arial Narrow"/>
      </w:rPr>
      <w:fldChar w:fldCharType="separate"/>
    </w:r>
    <w:r w:rsidR="007F1B2A">
      <w:rPr>
        <w:rFonts w:ascii="Arial Narrow" w:hAnsi="Arial Narrow"/>
        <w:noProof/>
      </w:rPr>
      <w:t>September 2015</w:t>
    </w:r>
    <w:r w:rsidRPr="004158B7">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9B" w:rsidRDefault="009B729B">
      <w:r>
        <w:separator/>
      </w:r>
    </w:p>
  </w:footnote>
  <w:footnote w:type="continuationSeparator" w:id="0">
    <w:p w:rsidR="009B729B" w:rsidRDefault="009B7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E7" w:rsidRPr="004158B7" w:rsidRDefault="007547DC">
    <w:pPr>
      <w:pStyle w:val="Header"/>
    </w:pPr>
    <w:r>
      <w:rPr>
        <w:noProof/>
      </w:rPr>
      <w:drawing>
        <wp:inline distT="0" distB="0" distL="0" distR="0" wp14:anchorId="5E847466" wp14:editId="1A725A14">
          <wp:extent cx="6060440" cy="1020445"/>
          <wp:effectExtent l="0" t="0" r="0" b="8255"/>
          <wp:docPr id="1" name="Picture 1" descr="polic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y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0440" cy="10204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667C"/>
    <w:multiLevelType w:val="hybridMultilevel"/>
    <w:tmpl w:val="C742B18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50EA"/>
    <w:multiLevelType w:val="hybridMultilevel"/>
    <w:tmpl w:val="C5C6B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717B29"/>
    <w:multiLevelType w:val="hybridMultilevel"/>
    <w:tmpl w:val="D3C242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C1661"/>
    <w:multiLevelType w:val="hybridMultilevel"/>
    <w:tmpl w:val="892A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939FC"/>
    <w:multiLevelType w:val="hybridMultilevel"/>
    <w:tmpl w:val="5B6EE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343E7"/>
    <w:multiLevelType w:val="hybridMultilevel"/>
    <w:tmpl w:val="BF6C0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713A6"/>
    <w:multiLevelType w:val="hybridMultilevel"/>
    <w:tmpl w:val="09265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401C78"/>
    <w:multiLevelType w:val="hybridMultilevel"/>
    <w:tmpl w:val="9A4E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E4065"/>
    <w:multiLevelType w:val="hybridMultilevel"/>
    <w:tmpl w:val="6AF2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010E5"/>
    <w:multiLevelType w:val="hybridMultilevel"/>
    <w:tmpl w:val="A24CD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91752"/>
    <w:multiLevelType w:val="multilevel"/>
    <w:tmpl w:val="D5E4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019D6"/>
    <w:multiLevelType w:val="hybridMultilevel"/>
    <w:tmpl w:val="7FEE2E32"/>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1E46C7"/>
    <w:multiLevelType w:val="multilevel"/>
    <w:tmpl w:val="E7F2E4FA"/>
    <w:lvl w:ilvl="0">
      <w:start w:val="5"/>
      <w:numFmt w:val="decimal"/>
      <w:lvlText w:val="%1"/>
      <w:lvlJc w:val="left"/>
      <w:pPr>
        <w:ind w:left="72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2850F03"/>
    <w:multiLevelType w:val="hybridMultilevel"/>
    <w:tmpl w:val="4D482104"/>
    <w:lvl w:ilvl="0" w:tplc="1A1ADC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F6B68"/>
    <w:multiLevelType w:val="hybridMultilevel"/>
    <w:tmpl w:val="862499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ED5010"/>
    <w:multiLevelType w:val="hybridMultilevel"/>
    <w:tmpl w:val="5A501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95B5B"/>
    <w:multiLevelType w:val="hybridMultilevel"/>
    <w:tmpl w:val="1B90C1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22B9F"/>
    <w:multiLevelType w:val="multilevel"/>
    <w:tmpl w:val="7D0249B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DA77D8"/>
    <w:multiLevelType w:val="multilevel"/>
    <w:tmpl w:val="A606E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E16BEA"/>
    <w:multiLevelType w:val="hybridMultilevel"/>
    <w:tmpl w:val="3CD07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F7E7D"/>
    <w:multiLevelType w:val="hybridMultilevel"/>
    <w:tmpl w:val="5620717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A0E61"/>
    <w:multiLevelType w:val="hybridMultilevel"/>
    <w:tmpl w:val="ADB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C1DDF"/>
    <w:multiLevelType w:val="hybridMultilevel"/>
    <w:tmpl w:val="4A7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81C2D"/>
    <w:multiLevelType w:val="hybridMultilevel"/>
    <w:tmpl w:val="B5DC5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F5234E"/>
    <w:multiLevelType w:val="hybridMultilevel"/>
    <w:tmpl w:val="E15875A6"/>
    <w:lvl w:ilvl="0" w:tplc="B14E92A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95750E"/>
    <w:multiLevelType w:val="hybridMultilevel"/>
    <w:tmpl w:val="E25EE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5159CC"/>
    <w:multiLevelType w:val="hybridMultilevel"/>
    <w:tmpl w:val="62FE4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305954"/>
    <w:multiLevelType w:val="hybridMultilevel"/>
    <w:tmpl w:val="749643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D6184"/>
    <w:multiLevelType w:val="hybridMultilevel"/>
    <w:tmpl w:val="AB50A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1776BB"/>
    <w:multiLevelType w:val="hybridMultilevel"/>
    <w:tmpl w:val="513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06B82"/>
    <w:multiLevelType w:val="hybridMultilevel"/>
    <w:tmpl w:val="5DC84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0E50EB"/>
    <w:multiLevelType w:val="hybridMultilevel"/>
    <w:tmpl w:val="8CA877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66680"/>
    <w:multiLevelType w:val="hybridMultilevel"/>
    <w:tmpl w:val="0E985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B624B2"/>
    <w:multiLevelType w:val="hybridMultilevel"/>
    <w:tmpl w:val="0AEC5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BFF0D2A"/>
    <w:multiLevelType w:val="hybridMultilevel"/>
    <w:tmpl w:val="A5065F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9F3271"/>
    <w:multiLevelType w:val="hybridMultilevel"/>
    <w:tmpl w:val="B8A6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D1C67"/>
    <w:multiLevelType w:val="hybridMultilevel"/>
    <w:tmpl w:val="88AA6F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66540"/>
    <w:multiLevelType w:val="hybridMultilevel"/>
    <w:tmpl w:val="217C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E613C"/>
    <w:multiLevelType w:val="hybridMultilevel"/>
    <w:tmpl w:val="C07865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11985"/>
    <w:multiLevelType w:val="hybridMultilevel"/>
    <w:tmpl w:val="7012F874"/>
    <w:lvl w:ilvl="0" w:tplc="FB2EC7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D47256"/>
    <w:multiLevelType w:val="hybridMultilevel"/>
    <w:tmpl w:val="5032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B4A21"/>
    <w:multiLevelType w:val="hybridMultilevel"/>
    <w:tmpl w:val="037892F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41019"/>
    <w:multiLevelType w:val="hybridMultilevel"/>
    <w:tmpl w:val="6B8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221EA"/>
    <w:multiLevelType w:val="hybridMultilevel"/>
    <w:tmpl w:val="F84E8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B1888"/>
    <w:multiLevelType w:val="hybridMultilevel"/>
    <w:tmpl w:val="B08C9C9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A1BA3"/>
    <w:multiLevelType w:val="hybridMultilevel"/>
    <w:tmpl w:val="C75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13F60"/>
    <w:multiLevelType w:val="multilevel"/>
    <w:tmpl w:val="FDCC0B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B55068"/>
    <w:multiLevelType w:val="hybridMultilevel"/>
    <w:tmpl w:val="527614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E0735B9"/>
    <w:multiLevelType w:val="hybridMultilevel"/>
    <w:tmpl w:val="54440B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8"/>
  </w:num>
  <w:num w:numId="3">
    <w:abstractNumId w:val="10"/>
  </w:num>
  <w:num w:numId="4">
    <w:abstractNumId w:val="23"/>
  </w:num>
  <w:num w:numId="5">
    <w:abstractNumId w:val="35"/>
  </w:num>
  <w:num w:numId="6">
    <w:abstractNumId w:val="31"/>
  </w:num>
  <w:num w:numId="7">
    <w:abstractNumId w:val="19"/>
  </w:num>
  <w:num w:numId="8">
    <w:abstractNumId w:val="16"/>
  </w:num>
  <w:num w:numId="9">
    <w:abstractNumId w:val="24"/>
  </w:num>
  <w:num w:numId="10">
    <w:abstractNumId w:val="5"/>
  </w:num>
  <w:num w:numId="11">
    <w:abstractNumId w:val="15"/>
  </w:num>
  <w:num w:numId="12">
    <w:abstractNumId w:val="13"/>
  </w:num>
  <w:num w:numId="13">
    <w:abstractNumId w:val="0"/>
  </w:num>
  <w:num w:numId="14">
    <w:abstractNumId w:val="6"/>
  </w:num>
  <w:num w:numId="15">
    <w:abstractNumId w:val="47"/>
  </w:num>
  <w:num w:numId="16">
    <w:abstractNumId w:val="14"/>
  </w:num>
  <w:num w:numId="17">
    <w:abstractNumId w:val="33"/>
  </w:num>
  <w:num w:numId="18">
    <w:abstractNumId w:val="27"/>
  </w:num>
  <w:num w:numId="19">
    <w:abstractNumId w:val="48"/>
  </w:num>
  <w:num w:numId="20">
    <w:abstractNumId w:val="26"/>
  </w:num>
  <w:num w:numId="21">
    <w:abstractNumId w:val="28"/>
  </w:num>
  <w:num w:numId="22">
    <w:abstractNumId w:val="25"/>
  </w:num>
  <w:num w:numId="23">
    <w:abstractNumId w:val="45"/>
  </w:num>
  <w:num w:numId="24">
    <w:abstractNumId w:val="9"/>
  </w:num>
  <w:num w:numId="25">
    <w:abstractNumId w:val="12"/>
  </w:num>
  <w:num w:numId="26">
    <w:abstractNumId w:val="22"/>
  </w:num>
  <w:num w:numId="27">
    <w:abstractNumId w:val="43"/>
  </w:num>
  <w:num w:numId="28">
    <w:abstractNumId w:val="44"/>
  </w:num>
  <w:num w:numId="29">
    <w:abstractNumId w:val="20"/>
  </w:num>
  <w:num w:numId="30">
    <w:abstractNumId w:val="40"/>
  </w:num>
  <w:num w:numId="31">
    <w:abstractNumId w:val="29"/>
  </w:num>
  <w:num w:numId="32">
    <w:abstractNumId w:val="41"/>
  </w:num>
  <w:num w:numId="33">
    <w:abstractNumId w:val="36"/>
  </w:num>
  <w:num w:numId="34">
    <w:abstractNumId w:val="21"/>
  </w:num>
  <w:num w:numId="35">
    <w:abstractNumId w:val="38"/>
  </w:num>
  <w:num w:numId="36">
    <w:abstractNumId w:val="4"/>
  </w:num>
  <w:num w:numId="37">
    <w:abstractNumId w:val="42"/>
  </w:num>
  <w:num w:numId="38">
    <w:abstractNumId w:val="37"/>
  </w:num>
  <w:num w:numId="39">
    <w:abstractNumId w:val="7"/>
  </w:num>
  <w:num w:numId="40">
    <w:abstractNumId w:val="32"/>
  </w:num>
  <w:num w:numId="41">
    <w:abstractNumId w:val="1"/>
  </w:num>
  <w:num w:numId="42">
    <w:abstractNumId w:val="3"/>
  </w:num>
  <w:num w:numId="43">
    <w:abstractNumId w:val="8"/>
  </w:num>
  <w:num w:numId="44">
    <w:abstractNumId w:val="2"/>
  </w:num>
  <w:num w:numId="45">
    <w:abstractNumId w:val="39"/>
  </w:num>
  <w:num w:numId="46">
    <w:abstractNumId w:val="30"/>
  </w:num>
  <w:num w:numId="47">
    <w:abstractNumId w:val="34"/>
  </w:num>
  <w:num w:numId="48">
    <w:abstractNumId w:val="1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50"/>
    <w:rsid w:val="0002688B"/>
    <w:rsid w:val="000B3AFC"/>
    <w:rsid w:val="000D0FAE"/>
    <w:rsid w:val="000D5B1D"/>
    <w:rsid w:val="000E4CFA"/>
    <w:rsid w:val="00194AB8"/>
    <w:rsid w:val="001D0020"/>
    <w:rsid w:val="001E096E"/>
    <w:rsid w:val="00206C19"/>
    <w:rsid w:val="00257D46"/>
    <w:rsid w:val="00285680"/>
    <w:rsid w:val="00292518"/>
    <w:rsid w:val="00342293"/>
    <w:rsid w:val="003D3609"/>
    <w:rsid w:val="003E6299"/>
    <w:rsid w:val="00401D5D"/>
    <w:rsid w:val="004158B7"/>
    <w:rsid w:val="00421D12"/>
    <w:rsid w:val="00426491"/>
    <w:rsid w:val="00432F0E"/>
    <w:rsid w:val="00461ADB"/>
    <w:rsid w:val="004B1975"/>
    <w:rsid w:val="004C5A73"/>
    <w:rsid w:val="004E6D99"/>
    <w:rsid w:val="004F0DBF"/>
    <w:rsid w:val="004F54C2"/>
    <w:rsid w:val="00505CC9"/>
    <w:rsid w:val="00521F8F"/>
    <w:rsid w:val="00555433"/>
    <w:rsid w:val="00574762"/>
    <w:rsid w:val="005A3471"/>
    <w:rsid w:val="006014A7"/>
    <w:rsid w:val="00645B42"/>
    <w:rsid w:val="006534F9"/>
    <w:rsid w:val="00662E72"/>
    <w:rsid w:val="00723E4D"/>
    <w:rsid w:val="007547DC"/>
    <w:rsid w:val="00776015"/>
    <w:rsid w:val="00795D70"/>
    <w:rsid w:val="007B525E"/>
    <w:rsid w:val="007E0DFA"/>
    <w:rsid w:val="007F1B2A"/>
    <w:rsid w:val="0080604E"/>
    <w:rsid w:val="0082651C"/>
    <w:rsid w:val="008336D0"/>
    <w:rsid w:val="00844852"/>
    <w:rsid w:val="008565E7"/>
    <w:rsid w:val="008652EC"/>
    <w:rsid w:val="008719E6"/>
    <w:rsid w:val="008770C3"/>
    <w:rsid w:val="008B44DA"/>
    <w:rsid w:val="009155E7"/>
    <w:rsid w:val="00917CF1"/>
    <w:rsid w:val="00931915"/>
    <w:rsid w:val="00951516"/>
    <w:rsid w:val="009628FA"/>
    <w:rsid w:val="009A69A6"/>
    <w:rsid w:val="009B729B"/>
    <w:rsid w:val="00A13A96"/>
    <w:rsid w:val="00A24FE7"/>
    <w:rsid w:val="00A25DF7"/>
    <w:rsid w:val="00A956A8"/>
    <w:rsid w:val="00AA4110"/>
    <w:rsid w:val="00BC5390"/>
    <w:rsid w:val="00C01D25"/>
    <w:rsid w:val="00C156B1"/>
    <w:rsid w:val="00C326CB"/>
    <w:rsid w:val="00C34B66"/>
    <w:rsid w:val="00C41460"/>
    <w:rsid w:val="00C612AF"/>
    <w:rsid w:val="00C66899"/>
    <w:rsid w:val="00C75E2C"/>
    <w:rsid w:val="00C83E3A"/>
    <w:rsid w:val="00C93246"/>
    <w:rsid w:val="00D1291C"/>
    <w:rsid w:val="00D17630"/>
    <w:rsid w:val="00D6718B"/>
    <w:rsid w:val="00DE6C50"/>
    <w:rsid w:val="00E047E0"/>
    <w:rsid w:val="00E12E4A"/>
    <w:rsid w:val="00E31E81"/>
    <w:rsid w:val="00E76468"/>
    <w:rsid w:val="00ED203F"/>
    <w:rsid w:val="00EE7B73"/>
    <w:rsid w:val="00F17291"/>
    <w:rsid w:val="00F255CA"/>
    <w:rsid w:val="00F46DEF"/>
    <w:rsid w:val="00FA223B"/>
    <w:rsid w:val="00FE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A3F8BB-CD77-4E7E-A519-2F869CB7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7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6C50"/>
    <w:pPr>
      <w:spacing w:before="100" w:beforeAutospacing="1" w:after="100" w:afterAutospacing="1"/>
    </w:pPr>
  </w:style>
  <w:style w:type="paragraph" w:styleId="Header">
    <w:name w:val="header"/>
    <w:basedOn w:val="Normal"/>
    <w:rsid w:val="00C41460"/>
    <w:pPr>
      <w:tabs>
        <w:tab w:val="center" w:pos="4320"/>
        <w:tab w:val="right" w:pos="8640"/>
      </w:tabs>
    </w:pPr>
  </w:style>
  <w:style w:type="paragraph" w:styleId="Footer">
    <w:name w:val="footer"/>
    <w:basedOn w:val="Normal"/>
    <w:rsid w:val="00C41460"/>
    <w:pPr>
      <w:tabs>
        <w:tab w:val="center" w:pos="4320"/>
        <w:tab w:val="right" w:pos="8640"/>
      </w:tabs>
    </w:pPr>
  </w:style>
  <w:style w:type="character" w:styleId="Hyperlink">
    <w:name w:val="Hyperlink"/>
    <w:basedOn w:val="DefaultParagraphFont"/>
    <w:uiPriority w:val="99"/>
    <w:rsid w:val="009628FA"/>
    <w:rPr>
      <w:color w:val="0000FF"/>
      <w:u w:val="single"/>
    </w:rPr>
  </w:style>
  <w:style w:type="table" w:styleId="TableGrid">
    <w:name w:val="Table Grid"/>
    <w:basedOn w:val="TableNormal"/>
    <w:rsid w:val="007B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7CF1"/>
    <w:rPr>
      <w:rFonts w:ascii="Tahoma" w:hAnsi="Tahoma" w:cs="Tahoma"/>
      <w:sz w:val="16"/>
      <w:szCs w:val="16"/>
    </w:rPr>
  </w:style>
  <w:style w:type="character" w:customStyle="1" w:styleId="BalloonTextChar">
    <w:name w:val="Balloon Text Char"/>
    <w:basedOn w:val="DefaultParagraphFont"/>
    <w:link w:val="BalloonText"/>
    <w:rsid w:val="00917CF1"/>
    <w:rPr>
      <w:rFonts w:ascii="Tahoma" w:hAnsi="Tahoma" w:cs="Tahoma"/>
      <w:sz w:val="16"/>
      <w:szCs w:val="16"/>
    </w:rPr>
  </w:style>
  <w:style w:type="paragraph" w:styleId="NoSpacing">
    <w:name w:val="No Spacing"/>
    <w:uiPriority w:val="1"/>
    <w:qFormat/>
    <w:rsid w:val="003E6299"/>
    <w:rPr>
      <w:rFonts w:ascii="Calibri" w:hAnsi="Calibri"/>
      <w:sz w:val="22"/>
      <w:szCs w:val="22"/>
    </w:rPr>
  </w:style>
  <w:style w:type="paragraph" w:styleId="ListParagraph">
    <w:name w:val="List Paragraph"/>
    <w:basedOn w:val="Normal"/>
    <w:uiPriority w:val="34"/>
    <w:qFormat/>
    <w:rsid w:val="008565E7"/>
    <w:pPr>
      <w:ind w:left="720"/>
    </w:pPr>
  </w:style>
  <w:style w:type="character" w:styleId="Strong">
    <w:name w:val="Strong"/>
    <w:qFormat/>
    <w:rsid w:val="00555433"/>
    <w:rPr>
      <w:rFonts w:ascii="Times New Roman" w:hAnsi="Times New Roman" w:cs="Times New Roman" w:hint="default"/>
      <w:b/>
      <w:bCs/>
    </w:rPr>
  </w:style>
  <w:style w:type="character" w:customStyle="1" w:styleId="normal1">
    <w:name w:val="normal1"/>
    <w:rsid w:val="00555433"/>
    <w:rPr>
      <w:rFonts w:ascii="Times New Roman" w:hAnsi="Times New Roman" w:cs="Times New Roman" w:hint="default"/>
      <w:sz w:val="20"/>
      <w:szCs w:val="20"/>
    </w:rPr>
  </w:style>
  <w:style w:type="character" w:customStyle="1" w:styleId="Heading1Char">
    <w:name w:val="Heading 1 Char"/>
    <w:basedOn w:val="DefaultParagraphFont"/>
    <w:link w:val="Heading1"/>
    <w:uiPriority w:val="9"/>
    <w:rsid w:val="00795D70"/>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795D70"/>
  </w:style>
  <w:style w:type="character" w:customStyle="1" w:styleId="style941">
    <w:name w:val="style941"/>
    <w:rsid w:val="000D5B1D"/>
    <w:rPr>
      <w:color w:val="163A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799">
      <w:bodyDiv w:val="1"/>
      <w:marLeft w:val="0"/>
      <w:marRight w:val="0"/>
      <w:marTop w:val="0"/>
      <w:marBottom w:val="0"/>
      <w:divBdr>
        <w:top w:val="none" w:sz="0" w:space="0" w:color="auto"/>
        <w:left w:val="none" w:sz="0" w:space="0" w:color="auto"/>
        <w:bottom w:val="none" w:sz="0" w:space="0" w:color="auto"/>
        <w:right w:val="none" w:sz="0" w:space="0" w:color="auto"/>
      </w:divBdr>
      <w:divsChild>
        <w:div w:id="59376133">
          <w:marLeft w:val="0"/>
          <w:marRight w:val="0"/>
          <w:marTop w:val="0"/>
          <w:marBottom w:val="0"/>
          <w:divBdr>
            <w:top w:val="none" w:sz="0" w:space="0" w:color="auto"/>
            <w:left w:val="none" w:sz="0" w:space="0" w:color="auto"/>
            <w:bottom w:val="none" w:sz="0" w:space="0" w:color="auto"/>
            <w:right w:val="none" w:sz="0" w:space="0" w:color="auto"/>
          </w:divBdr>
          <w:divsChild>
            <w:div w:id="253755552">
              <w:marLeft w:val="0"/>
              <w:marRight w:val="0"/>
              <w:marTop w:val="0"/>
              <w:marBottom w:val="0"/>
              <w:divBdr>
                <w:top w:val="none" w:sz="0" w:space="0" w:color="auto"/>
                <w:left w:val="none" w:sz="0" w:space="0" w:color="auto"/>
                <w:bottom w:val="none" w:sz="0" w:space="0" w:color="auto"/>
                <w:right w:val="none" w:sz="0" w:space="0" w:color="auto"/>
              </w:divBdr>
              <w:divsChild>
                <w:div w:id="1072235998">
                  <w:marLeft w:val="2928"/>
                  <w:marRight w:val="0"/>
                  <w:marTop w:val="720"/>
                  <w:marBottom w:val="0"/>
                  <w:divBdr>
                    <w:top w:val="none" w:sz="0" w:space="0" w:color="auto"/>
                    <w:left w:val="none" w:sz="0" w:space="0" w:color="auto"/>
                    <w:bottom w:val="none" w:sz="0" w:space="0" w:color="auto"/>
                    <w:right w:val="none" w:sz="0" w:space="0" w:color="auto"/>
                  </w:divBdr>
                  <w:divsChild>
                    <w:div w:id="18630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49095">
      <w:bodyDiv w:val="1"/>
      <w:marLeft w:val="0"/>
      <w:marRight w:val="0"/>
      <w:marTop w:val="0"/>
      <w:marBottom w:val="0"/>
      <w:divBdr>
        <w:top w:val="none" w:sz="0" w:space="0" w:color="auto"/>
        <w:left w:val="none" w:sz="0" w:space="0" w:color="auto"/>
        <w:bottom w:val="none" w:sz="0" w:space="0" w:color="auto"/>
        <w:right w:val="none" w:sz="0" w:space="0" w:color="auto"/>
      </w:divBdr>
    </w:div>
    <w:div w:id="1117871551">
      <w:bodyDiv w:val="1"/>
      <w:marLeft w:val="0"/>
      <w:marRight w:val="0"/>
      <w:marTop w:val="0"/>
      <w:marBottom w:val="0"/>
      <w:divBdr>
        <w:top w:val="none" w:sz="0" w:space="0" w:color="auto"/>
        <w:left w:val="none" w:sz="0" w:space="0" w:color="auto"/>
        <w:bottom w:val="none" w:sz="0" w:space="0" w:color="auto"/>
        <w:right w:val="none" w:sz="0" w:space="0" w:color="auto"/>
      </w:divBdr>
    </w:div>
    <w:div w:id="1429931904">
      <w:bodyDiv w:val="1"/>
      <w:marLeft w:val="0"/>
      <w:marRight w:val="0"/>
      <w:marTop w:val="0"/>
      <w:marBottom w:val="0"/>
      <w:divBdr>
        <w:top w:val="none" w:sz="0" w:space="0" w:color="auto"/>
        <w:left w:val="none" w:sz="0" w:space="0" w:color="auto"/>
        <w:bottom w:val="none" w:sz="0" w:space="0" w:color="auto"/>
        <w:right w:val="none" w:sz="0" w:space="0" w:color="auto"/>
      </w:divBdr>
      <w:divsChild>
        <w:div w:id="99419362">
          <w:marLeft w:val="0"/>
          <w:marRight w:val="0"/>
          <w:marTop w:val="0"/>
          <w:marBottom w:val="0"/>
          <w:divBdr>
            <w:top w:val="none" w:sz="0" w:space="0" w:color="auto"/>
            <w:left w:val="none" w:sz="0" w:space="0" w:color="auto"/>
            <w:bottom w:val="none" w:sz="0" w:space="0" w:color="auto"/>
            <w:right w:val="none" w:sz="0" w:space="0" w:color="auto"/>
          </w:divBdr>
          <w:divsChild>
            <w:div w:id="1485469821">
              <w:marLeft w:val="0"/>
              <w:marRight w:val="0"/>
              <w:marTop w:val="0"/>
              <w:marBottom w:val="0"/>
              <w:divBdr>
                <w:top w:val="none" w:sz="0" w:space="0" w:color="auto"/>
                <w:left w:val="none" w:sz="0" w:space="0" w:color="auto"/>
                <w:bottom w:val="none" w:sz="0" w:space="0" w:color="auto"/>
                <w:right w:val="none" w:sz="0" w:space="0" w:color="auto"/>
              </w:divBdr>
              <w:divsChild>
                <w:div w:id="1256329079">
                  <w:marLeft w:val="2928"/>
                  <w:marRight w:val="0"/>
                  <w:marTop w:val="720"/>
                  <w:marBottom w:val="0"/>
                  <w:divBdr>
                    <w:top w:val="none" w:sz="0" w:space="0" w:color="auto"/>
                    <w:left w:val="none" w:sz="0" w:space="0" w:color="auto"/>
                    <w:bottom w:val="none" w:sz="0" w:space="0" w:color="auto"/>
                    <w:right w:val="none" w:sz="0" w:space="0" w:color="auto"/>
                  </w:divBdr>
                  <w:divsChild>
                    <w:div w:id="2043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Off04</b:Tag>
    <b:SourceType>InternetSite</b:SourceType>
    <b:Guid>{C5583B57-BD06-4A43-814A-7E704C7A1483}</b:Guid>
    <b:Author>
      <b:Author>
        <b:Corporate>Office of Management and Budget</b:Corporate>
      </b:Author>
    </b:Author>
    <b:Title>Circular A-21</b:Title>
    <b:InternetSiteTitle>Office of Management and Budget</b:InternetSiteTitle>
    <b:Year>2004</b:Year>
    <b:Month>May</b:Month>
    <b:Day>10</b:Day>
    <b:YearAccessed>2012</b:YearAccessed>
    <b:MonthAccessed>July </b:MonthAccessed>
    <b:DayAccessed>23</b:DayAccessed>
    <b:URL>http://www.whitehouse.gov/omb/circulars_a021_2004</b:URL>
    <b:RefOrder>1</b:RefOrder>
  </b:Source>
  <b:Source>
    <b:Tag>Rel07</b:Tag>
    <b:SourceType>DocumentFromInternetSite</b:SourceType>
    <b:Guid>{723B180A-153D-4E50-B67C-FCB3F2E2784D}</b:Guid>
    <b:Title>Compensation, Effort Committments, and Certifications</b:Title>
    <b:Year>2007</b:Year>
    <b:Month>March </b:Month>
    <b:Day>1</b:Day>
    <b:InternetSiteTitle>Council On Government Relations</b:InternetSiteTitle>
    <b:YearAccessed>2013</b:YearAccessed>
    <b:MonthAccessed>August</b:MonthAccessed>
    <b:DayAccessed>20</b:DayAccessed>
    <b:URL>https://www.rsp.wisc.edu/effort/COGR_EffortPaper.pdf</b:URL>
    <b:Author>
      <b:Author>
        <b:Corporate>Relations, Council On Government</b:Corporate>
      </b:Author>
    </b:Author>
    <b:RefOrder>2</b:RefOrder>
  </b:Source>
  <b:Source>
    <b:Tag>Uni131</b:Tag>
    <b:SourceType>DocumentFromInternetSite</b:SourceType>
    <b:Guid>{B477C691-D774-4B46-A328-E26537015CF5}</b:Guid>
    <b:Author>
      <b:Author>
        <b:Corporate>University Systems of Georgia</b:Corporate>
      </b:Author>
    </b:Author>
    <b:Title>Board of Regents Policy Manual</b:Title>
    <b:InternetSiteTitle>University Systems of Georgia</b:InternetSiteTitle>
    <b:YearAccessed>2013</b:YearAccessed>
    <b:MonthAccessed>March </b:MonthAccessed>
    <b:URL>http://www.usg.edu/policymanual/section8/C245/</b:URL>
    <b:RefOrder>3</b:RefOrder>
  </b:Source>
  <b:Source>
    <b:Tag>Uni13</b:Tag>
    <b:SourceType>DocumentFromInternetSite</b:SourceType>
    <b:Guid>{38C2B68A-5692-4130-AC8C-2D41E9F567FB}</b:Guid>
    <b:Title>Business Procedures Manual</b:Title>
    <b:Author>
      <b:Author>
        <b:Corporate>University Systems of Georgia</b:Corporate>
      </b:Author>
    </b:Author>
    <b:InternetSiteTitle>University Systems of Georgia</b:InternetSiteTitle>
    <b:YearAccessed>2013</b:YearAccessed>
    <b:MonthAccessed>March</b:MonthAccessed>
    <b:URL>http://www.usg.edu/business_procedures_manual/section5/C1235</b:URL>
    <b:RefOrder>4</b:RefOrder>
  </b:Source>
  <b:Source>
    <b:Tag>Geo11</b:Tag>
    <b:SourceType>DocumentFromInternetSite</b:SourceType>
    <b:Guid>{4CFBAA4A-29B5-4814-97F9-BFB69C53B49F}</b:Guid>
    <b:Author>
      <b:Author>
        <b:Corporate>Georgia Technology Institute</b:Corporate>
      </b:Author>
    </b:Author>
    <b:Title>Research Integrity Assurance</b:Title>
    <b:InternetSiteTitle>Gearogia Tech</b:InternetSiteTitle>
    <b:Year>2011</b:Year>
    <b:YearAccessed>2011</b:YearAccessed>
    <b:MonthAccessed>November</b:MonthAccessed>
    <b:URL>http://researchintegrity.gatech.edu/about-irb/irb-policies-and-procedures/</b:URL>
    <b:RefOrder>1</b:RefOrder>
  </b:Source>
</b:Sources>
</file>

<file path=customXml/itemProps1.xml><?xml version="1.0" encoding="utf-8"?>
<ds:datastoreItem xmlns:ds="http://schemas.openxmlformats.org/officeDocument/2006/customXml" ds:itemID="{06EBA5BC-1689-4593-94A9-EDA655DD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AntiVirus Software Policy</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AntiVirus Software Policy</dc:title>
  <dc:creator>veiland</dc:creator>
  <cp:lastModifiedBy>Williams, M. Cheri</cp:lastModifiedBy>
  <cp:revision>2</cp:revision>
  <cp:lastPrinted>2015-09-04T18:58:00Z</cp:lastPrinted>
  <dcterms:created xsi:type="dcterms:W3CDTF">2015-09-04T18:58:00Z</dcterms:created>
  <dcterms:modified xsi:type="dcterms:W3CDTF">2015-09-04T18:58:00Z</dcterms:modified>
</cp:coreProperties>
</file>